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szCs w:val="44"/>
          <w:highlight w:val="none"/>
        </w:rPr>
      </w:pPr>
      <w:r>
        <w:rPr>
          <w:rFonts w:hint="eastAsia" w:ascii="宋体" w:hAnsi="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pPr>
        <w:rPr>
          <w:rFonts w:ascii="宋体" w:hAnsi="宋体" w:cs="宋体"/>
          <w:sz w:val="52"/>
          <w:szCs w:val="52"/>
          <w:highlight w:val="none"/>
        </w:rPr>
      </w:pPr>
    </w:p>
    <w:p>
      <w:pPr>
        <w:spacing w:line="680" w:lineRule="exact"/>
        <w:jc w:val="center"/>
        <w:rPr>
          <w:rFonts w:ascii="宋体" w:hAnsi="宋体" w:cs="宋体"/>
          <w:b/>
          <w:bCs/>
          <w:sz w:val="52"/>
          <w:szCs w:val="52"/>
          <w:highlight w:val="none"/>
        </w:rPr>
      </w:pPr>
    </w:p>
    <w:p>
      <w:pPr>
        <w:pStyle w:val="2"/>
        <w:rPr>
          <w:rFonts w:ascii="宋体" w:hAnsi="宋体" w:cs="宋体"/>
          <w:highlight w:val="none"/>
        </w:rPr>
      </w:pPr>
    </w:p>
    <w:p>
      <w:pPr>
        <w:spacing w:line="360" w:lineRule="auto"/>
        <w:jc w:val="center"/>
        <w:rPr>
          <w:rFonts w:ascii="宋体" w:hAnsi="宋体" w:cs="宋体"/>
          <w:b/>
          <w:bCs/>
          <w:w w:val="92"/>
          <w:sz w:val="72"/>
          <w:szCs w:val="72"/>
          <w:highlight w:val="none"/>
        </w:rPr>
      </w:pPr>
      <w:r>
        <w:rPr>
          <w:rFonts w:hint="eastAsia" w:ascii="宋体" w:hAnsi="宋体" w:cs="宋体"/>
          <w:b/>
          <w:bCs/>
          <w:w w:val="92"/>
          <w:sz w:val="72"/>
          <w:szCs w:val="72"/>
          <w:highlight w:val="none"/>
        </w:rPr>
        <w:t>竞 争 性 谈 判 文 件</w:t>
      </w:r>
    </w:p>
    <w:p>
      <w:pPr>
        <w:spacing w:line="680" w:lineRule="exact"/>
        <w:jc w:val="center"/>
        <w:rPr>
          <w:rFonts w:ascii="宋体" w:hAnsi="宋体" w:cs="宋体"/>
          <w:sz w:val="44"/>
          <w:szCs w:val="44"/>
          <w:highlight w:val="none"/>
        </w:rPr>
      </w:pPr>
    </w:p>
    <w:p>
      <w:pPr>
        <w:spacing w:line="680" w:lineRule="exact"/>
        <w:jc w:val="center"/>
        <w:rPr>
          <w:rFonts w:ascii="宋体" w:hAnsi="宋体" w:cs="宋体"/>
          <w:sz w:val="44"/>
          <w:szCs w:val="44"/>
          <w:highlight w:val="none"/>
        </w:rPr>
      </w:pPr>
    </w:p>
    <w:p>
      <w:pPr>
        <w:pStyle w:val="2"/>
        <w:rPr>
          <w:rFonts w:ascii="宋体" w:hAnsi="宋体" w:cs="宋体"/>
          <w:sz w:val="44"/>
          <w:szCs w:val="44"/>
          <w:highlight w:val="none"/>
        </w:rPr>
      </w:pPr>
    </w:p>
    <w:p>
      <w:pPr>
        <w:rPr>
          <w:highlight w:val="none"/>
        </w:rPr>
      </w:pPr>
    </w:p>
    <w:p>
      <w:pPr>
        <w:spacing w:line="680" w:lineRule="exact"/>
        <w:rPr>
          <w:rFonts w:ascii="宋体" w:hAnsi="宋体" w:cs="宋体"/>
          <w:sz w:val="44"/>
          <w:szCs w:val="44"/>
          <w:highlight w:val="none"/>
        </w:rPr>
      </w:pPr>
    </w:p>
    <w:p>
      <w:pPr>
        <w:spacing w:line="600" w:lineRule="auto"/>
        <w:ind w:leftChars="300"/>
        <w:rPr>
          <w:rFonts w:hint="eastAsia" w:ascii="宋体" w:hAnsi="宋体" w:eastAsia="宋体" w:cs="宋体"/>
          <w:sz w:val="28"/>
          <w:szCs w:val="28"/>
          <w:highlight w:val="none"/>
          <w:lang w:eastAsia="zh-CN"/>
        </w:rPr>
      </w:pPr>
      <w:r>
        <w:rPr>
          <w:rFonts w:hint="eastAsia" w:ascii="宋体" w:hAnsi="宋体" w:cs="宋体"/>
          <w:sz w:val="28"/>
          <w:szCs w:val="28"/>
          <w:highlight w:val="none"/>
        </w:rPr>
        <w:t>项目编号：</w:t>
      </w:r>
      <w:r>
        <w:rPr>
          <w:rFonts w:hint="eastAsia" w:ascii="宋体" w:hAnsi="宋体" w:cs="宋体"/>
          <w:sz w:val="28"/>
          <w:szCs w:val="28"/>
          <w:highlight w:val="none"/>
          <w:lang w:eastAsia="zh-CN"/>
        </w:rPr>
        <w:t>青枫采竞-2023020</w:t>
      </w:r>
      <w:bookmarkStart w:id="26" w:name="_GoBack"/>
      <w:bookmarkEnd w:id="26"/>
    </w:p>
    <w:p>
      <w:pPr>
        <w:widowControl/>
        <w:spacing w:line="600" w:lineRule="auto"/>
        <w:ind w:leftChars="300"/>
        <w:rPr>
          <w:rFonts w:ascii="宋体" w:hAnsi="宋体" w:cs="宋体"/>
          <w:b/>
          <w:bCs/>
          <w:sz w:val="28"/>
          <w:szCs w:val="28"/>
          <w:highlight w:val="none"/>
        </w:rPr>
      </w:pPr>
      <w:r>
        <w:rPr>
          <w:rFonts w:hint="eastAsia" w:ascii="宋体" w:hAnsi="宋体" w:cs="宋体"/>
          <w:sz w:val="28"/>
          <w:szCs w:val="28"/>
          <w:highlight w:val="none"/>
        </w:rPr>
        <w:t>项目名称：</w:t>
      </w:r>
      <w:r>
        <w:rPr>
          <w:rFonts w:hint="eastAsia" w:ascii="宋体" w:hAnsi="宋体" w:cs="宋体"/>
          <w:kern w:val="2"/>
          <w:sz w:val="28"/>
          <w:szCs w:val="28"/>
          <w:highlight w:val="none"/>
          <w:lang w:val="en-US" w:eastAsia="zh-CN" w:bidi="ar-SA"/>
        </w:rPr>
        <w:t>2023紫云小学环境文化布置项目</w:t>
      </w:r>
    </w:p>
    <w:p>
      <w:pPr>
        <w:spacing w:line="600" w:lineRule="auto"/>
        <w:ind w:leftChars="300"/>
        <w:rPr>
          <w:rFonts w:hint="eastAsia" w:ascii="宋体" w:hAnsi="宋体" w:eastAsia="宋体" w:cs="宋体"/>
          <w:sz w:val="28"/>
          <w:szCs w:val="28"/>
          <w:highlight w:val="none"/>
          <w:lang w:eastAsia="zh-CN"/>
        </w:rPr>
      </w:pPr>
      <w:r>
        <w:rPr>
          <w:rFonts w:hint="eastAsia" w:ascii="宋体" w:hAnsi="宋体" w:cs="宋体"/>
          <w:sz w:val="28"/>
          <w:szCs w:val="28"/>
          <w:highlight w:val="none"/>
        </w:rPr>
        <w:t>采 购 人：</w:t>
      </w:r>
      <w:r>
        <w:rPr>
          <w:rFonts w:hint="eastAsia" w:ascii="宋体" w:hAnsi="宋体" w:cs="宋体"/>
          <w:sz w:val="28"/>
          <w:szCs w:val="28"/>
          <w:highlight w:val="none"/>
          <w:lang w:eastAsia="zh-CN"/>
        </w:rPr>
        <w:t>常州市紫云小学</w:t>
      </w:r>
    </w:p>
    <w:p>
      <w:pPr>
        <w:spacing w:line="480" w:lineRule="exact"/>
        <w:ind w:firstLine="420"/>
        <w:jc w:val="center"/>
        <w:rPr>
          <w:rFonts w:ascii="宋体" w:hAnsi="宋体" w:cs="宋体"/>
          <w:sz w:val="32"/>
          <w:szCs w:val="32"/>
          <w:highlight w:val="none"/>
        </w:rPr>
      </w:pPr>
    </w:p>
    <w:p>
      <w:pPr>
        <w:spacing w:line="480" w:lineRule="exact"/>
        <w:jc w:val="center"/>
        <w:rPr>
          <w:rFonts w:ascii="宋体" w:hAnsi="宋体" w:cs="宋体"/>
          <w:sz w:val="36"/>
          <w:szCs w:val="36"/>
          <w:highlight w:val="none"/>
        </w:rPr>
      </w:pPr>
    </w:p>
    <w:p>
      <w:pPr>
        <w:pStyle w:val="11"/>
        <w:rPr>
          <w:highlight w:val="none"/>
        </w:rPr>
      </w:pPr>
    </w:p>
    <w:p>
      <w:pPr>
        <w:spacing w:line="600" w:lineRule="auto"/>
        <w:jc w:val="center"/>
        <w:rPr>
          <w:rFonts w:ascii="宋体" w:hAnsi="宋体" w:cs="宋体"/>
          <w:sz w:val="36"/>
          <w:szCs w:val="36"/>
          <w:highlight w:val="none"/>
        </w:rPr>
      </w:pPr>
      <w:r>
        <w:rPr>
          <w:rFonts w:hint="eastAsia" w:ascii="宋体" w:hAnsi="宋体" w:cs="宋体"/>
          <w:sz w:val="36"/>
          <w:szCs w:val="36"/>
          <w:highlight w:val="none"/>
        </w:rPr>
        <w:t>常州青枫招标有限公司</w:t>
      </w:r>
    </w:p>
    <w:p>
      <w:pPr>
        <w:spacing w:line="600" w:lineRule="auto"/>
        <w:jc w:val="center"/>
        <w:rPr>
          <w:rFonts w:ascii="宋体" w:hAnsi="宋体" w:cs="宋体"/>
          <w:b/>
          <w:sz w:val="36"/>
          <w:szCs w:val="36"/>
          <w:highlight w:val="none"/>
        </w:rPr>
      </w:pPr>
      <w:r>
        <w:rPr>
          <w:rFonts w:hint="eastAsia" w:ascii="宋体" w:hAnsi="宋体" w:cs="宋体"/>
          <w:w w:val="90"/>
          <w:sz w:val="36"/>
          <w:szCs w:val="36"/>
          <w:highlight w:val="none"/>
        </w:rPr>
        <w:t>二〇二</w:t>
      </w:r>
      <w:r>
        <w:rPr>
          <w:rFonts w:hint="eastAsia" w:ascii="宋体" w:hAnsi="宋体" w:cs="宋体"/>
          <w:w w:val="90"/>
          <w:sz w:val="36"/>
          <w:szCs w:val="36"/>
          <w:highlight w:val="none"/>
          <w:lang w:val="en-US" w:eastAsia="zh-CN"/>
        </w:rPr>
        <w:t>三</w:t>
      </w:r>
      <w:r>
        <w:rPr>
          <w:rFonts w:hint="eastAsia" w:ascii="宋体" w:hAnsi="宋体" w:cs="宋体"/>
          <w:w w:val="90"/>
          <w:sz w:val="36"/>
          <w:szCs w:val="36"/>
          <w:highlight w:val="none"/>
        </w:rPr>
        <w:t>年</w:t>
      </w:r>
      <w:r>
        <w:rPr>
          <w:rFonts w:hint="eastAsia" w:ascii="宋体" w:hAnsi="宋体" w:cs="宋体"/>
          <w:w w:val="90"/>
          <w:sz w:val="36"/>
          <w:szCs w:val="36"/>
          <w:highlight w:val="none"/>
          <w:lang w:val="en-US" w:eastAsia="zh-CN"/>
        </w:rPr>
        <w:t>十二</w:t>
      </w:r>
      <w:r>
        <w:rPr>
          <w:rFonts w:hint="eastAsia" w:ascii="宋体" w:hAnsi="宋体" w:cs="宋体"/>
          <w:w w:val="90"/>
          <w:sz w:val="36"/>
          <w:szCs w:val="36"/>
          <w:highlight w:val="none"/>
        </w:rPr>
        <w:t>月</w:t>
      </w:r>
    </w:p>
    <w:p>
      <w:pPr>
        <w:spacing w:line="600" w:lineRule="auto"/>
        <w:ind w:firstLine="315"/>
        <w:jc w:val="center"/>
        <w:rPr>
          <w:rFonts w:ascii="宋体" w:hAnsi="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pPr>
        <w:jc w:val="center"/>
        <w:rPr>
          <w:rFonts w:hint="eastAsia" w:ascii="宋体" w:hAnsi="宋体" w:eastAsia="宋体" w:cs="宋体"/>
          <w:b/>
          <w:bCs/>
          <w:color w:val="auto"/>
          <w:sz w:val="44"/>
          <w:szCs w:val="44"/>
          <w:highlight w:val="none"/>
        </w:rPr>
      </w:pPr>
      <w:bookmarkStart w:id="0" w:name="OLE_LINK8"/>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2"/>
        <w:rPr>
          <w:rFonts w:hint="eastAsia" w:ascii="宋体" w:hAnsi="宋体" w:eastAsia="宋体" w:cs="宋体"/>
          <w:color w:val="auto"/>
          <w:highlight w:val="none"/>
        </w:rPr>
      </w:pP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竞争性</w:t>
      </w:r>
      <w:r>
        <w:rPr>
          <w:rFonts w:hint="eastAsia" w:ascii="宋体" w:hAnsi="宋体" w:eastAsia="宋体" w:cs="宋体"/>
          <w:bCs/>
          <w:color w:val="auto"/>
          <w:sz w:val="28"/>
          <w:szCs w:val="28"/>
          <w:highlight w:val="none"/>
          <w:lang w:val="en-US" w:eastAsia="zh-CN"/>
        </w:rPr>
        <w:t>谈判</w:t>
      </w:r>
      <w:r>
        <w:rPr>
          <w:rFonts w:hint="eastAsia" w:ascii="宋体" w:hAnsi="宋体" w:eastAsia="宋体" w:cs="宋体"/>
          <w:bCs/>
          <w:color w:val="auto"/>
          <w:sz w:val="28"/>
          <w:szCs w:val="28"/>
          <w:highlight w:val="none"/>
          <w:lang w:eastAsia="zh-CN"/>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的组成</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"_Toc6323"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第四章  合同主要条款（参考）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评标细则</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附件</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3"/>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友情提醒</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pPr>
        <w:spacing w:line="480" w:lineRule="auto"/>
        <w:jc w:val="center"/>
        <w:rPr>
          <w:rFonts w:ascii="宋体" w:hAnsi="宋体" w:cs="宋体"/>
          <w:sz w:val="28"/>
          <w:szCs w:val="28"/>
          <w:highlight w:val="none"/>
        </w:rPr>
      </w:pPr>
      <w:r>
        <w:rPr>
          <w:rFonts w:hint="eastAsia" w:ascii="宋体" w:hAnsi="宋体" w:eastAsia="宋体" w:cs="宋体"/>
          <w:color w:val="auto"/>
          <w:sz w:val="28"/>
          <w:szCs w:val="28"/>
          <w:highlight w:val="none"/>
        </w:rPr>
        <w:fldChar w:fldCharType="end"/>
      </w:r>
    </w:p>
    <w:p>
      <w:pPr>
        <w:spacing w:line="240" w:lineRule="atLeast"/>
        <w:jc w:val="center"/>
        <w:rPr>
          <w:rFonts w:ascii="宋体" w:hAnsi="宋体" w:cs="宋体"/>
          <w:sz w:val="28"/>
          <w:szCs w:val="28"/>
          <w:highlight w:val="none"/>
        </w:rPr>
      </w:pPr>
    </w:p>
    <w:p>
      <w:pPr>
        <w:spacing w:line="240" w:lineRule="atLeast"/>
        <w:jc w:val="center"/>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pStyle w:val="2"/>
        <w:rPr>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ascii="宋体" w:hAnsi="宋体" w:cs="宋体"/>
          <w:szCs w:val="21"/>
          <w:highlight w:val="none"/>
        </w:rPr>
      </w:pPr>
      <w:r>
        <w:rPr>
          <w:rFonts w:hint="eastAsia" w:ascii="宋体" w:hAnsi="宋体" w:cs="宋体"/>
          <w:b/>
          <w:bCs/>
          <w:sz w:val="28"/>
          <w:szCs w:val="28"/>
          <w:highlight w:val="none"/>
        </w:rPr>
        <w:t>竞争性谈判公告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keepNext w:val="0"/>
              <w:keepLines w:val="0"/>
              <w:suppressLineNumbers w:val="0"/>
              <w:spacing w:before="0" w:beforeAutospacing="0" w:after="0" w:afterAutospacing="0" w:line="380" w:lineRule="exact"/>
              <w:ind w:left="0" w:right="0"/>
              <w:jc w:val="left"/>
              <w:rPr>
                <w:rFonts w:hint="default" w:ascii="宋体" w:hAnsi="宋体" w:cs="宋体"/>
                <w:szCs w:val="21"/>
                <w:highlight w:val="none"/>
              </w:rPr>
            </w:pPr>
            <w:r>
              <w:rPr>
                <w:rFonts w:hint="eastAsia" w:ascii="宋体" w:hAnsi="宋体" w:cs="宋体"/>
                <w:b/>
                <w:bCs/>
                <w:szCs w:val="21"/>
                <w:highlight w:val="none"/>
              </w:rPr>
              <w:t>项目概况</w:t>
            </w:r>
          </w:p>
          <w:p>
            <w:pPr>
              <w:pStyle w:val="2"/>
              <w:keepNext w:val="0"/>
              <w:keepLines w:val="0"/>
              <w:suppressLineNumbers w:val="0"/>
              <w:spacing w:before="0" w:beforeAutospacing="0" w:after="0" w:afterAutospacing="0" w:line="360" w:lineRule="exact"/>
              <w:ind w:left="0" w:right="0"/>
              <w:rPr>
                <w:rFonts w:hint="default" w:ascii="宋体" w:hAnsi="宋体" w:cs="宋体"/>
                <w:szCs w:val="20"/>
                <w:highlight w:val="none"/>
              </w:rPr>
            </w:pPr>
            <w:r>
              <w:rPr>
                <w:rFonts w:hint="eastAsia" w:ascii="宋体" w:hAnsi="宋体" w:cs="宋体"/>
                <w:b/>
                <w:bCs/>
                <w:szCs w:val="21"/>
                <w:highlight w:val="none"/>
                <w:u w:val="single"/>
                <w:lang w:eastAsia="zh-CN"/>
              </w:rPr>
              <w:t>2023紫云小学环境文化布置项目</w:t>
            </w:r>
            <w:r>
              <w:rPr>
                <w:rFonts w:hint="eastAsia" w:ascii="宋体" w:hAnsi="宋体" w:cs="宋体"/>
                <w:szCs w:val="21"/>
                <w:highlight w:val="none"/>
              </w:rPr>
              <w:t>采购项目的潜在供应商应在</w:t>
            </w:r>
            <w:r>
              <w:rPr>
                <w:rFonts w:hint="eastAsia" w:ascii="宋体" w:hAnsi="宋体" w:cs="宋体"/>
                <w:b/>
                <w:bCs/>
                <w:szCs w:val="21"/>
                <w:highlight w:val="none"/>
                <w:u w:val="single"/>
              </w:rPr>
              <w:t>常州青枫招标有限公司</w:t>
            </w:r>
            <w:r>
              <w:rPr>
                <w:rFonts w:hint="eastAsia" w:ascii="宋体" w:hAnsi="宋体" w:cs="宋体"/>
                <w:b/>
                <w:bCs/>
                <w:szCs w:val="21"/>
                <w:highlight w:val="none"/>
                <w:u w:val="single"/>
                <w:lang w:val="en-US" w:eastAsia="zh-CN"/>
              </w:rPr>
              <w:t>网站</w:t>
            </w:r>
            <w:r>
              <w:rPr>
                <w:rFonts w:hint="eastAsia" w:ascii="宋体" w:hAnsi="宋体" w:cs="宋体"/>
                <w:szCs w:val="21"/>
                <w:highlight w:val="none"/>
              </w:rPr>
              <w:t>获取采购文件，</w:t>
            </w:r>
            <w:r>
              <w:rPr>
                <w:rFonts w:hint="eastAsia" w:ascii="宋体" w:hAnsi="宋体" w:cs="宋体"/>
                <w:b/>
                <w:bCs/>
                <w:szCs w:val="21"/>
                <w:highlight w:val="none"/>
              </w:rPr>
              <w:t>并于</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12</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14</w:t>
            </w:r>
            <w:r>
              <w:rPr>
                <w:rFonts w:hint="eastAsia" w:ascii="宋体" w:hAnsi="宋体" w:cs="宋体"/>
                <w:b/>
                <w:bCs/>
                <w:szCs w:val="21"/>
                <w:highlight w:val="none"/>
                <w:u w:val="single"/>
              </w:rPr>
              <w:t>日</w:t>
            </w:r>
            <w:r>
              <w:rPr>
                <w:rFonts w:hint="eastAsia" w:ascii="宋体" w:hAnsi="宋体" w:cs="宋体"/>
                <w:b/>
                <w:bCs/>
                <w:szCs w:val="21"/>
                <w:highlight w:val="none"/>
                <w:u w:val="single"/>
                <w:lang w:val="en-US" w:eastAsia="zh-CN"/>
              </w:rPr>
              <w:t>13</w:t>
            </w:r>
            <w:r>
              <w:rPr>
                <w:rFonts w:hint="eastAsia" w:ascii="宋体" w:hAnsi="宋体" w:cs="宋体"/>
                <w:b/>
                <w:bCs/>
                <w:szCs w:val="21"/>
                <w:highlight w:val="none"/>
                <w:u w:val="single"/>
              </w:rPr>
              <w:t>点</w:t>
            </w:r>
            <w:r>
              <w:rPr>
                <w:rFonts w:hint="eastAsia" w:ascii="宋体" w:hAnsi="宋体" w:cs="宋体"/>
                <w:b/>
                <w:bCs/>
                <w:szCs w:val="21"/>
                <w:highlight w:val="none"/>
                <w:u w:val="single"/>
                <w:lang w:val="en-US" w:eastAsia="zh-CN"/>
              </w:rPr>
              <w:t>30</w:t>
            </w:r>
            <w:r>
              <w:rPr>
                <w:rFonts w:hint="eastAsia" w:ascii="宋体" w:hAnsi="宋体" w:cs="宋体"/>
                <w:b/>
                <w:bCs/>
                <w:szCs w:val="21"/>
                <w:highlight w:val="none"/>
                <w:u w:val="single"/>
              </w:rPr>
              <w:t>分</w:t>
            </w:r>
            <w:r>
              <w:rPr>
                <w:rFonts w:hint="eastAsia" w:ascii="宋体" w:hAnsi="宋体" w:cs="宋体"/>
                <w:szCs w:val="21"/>
                <w:highlight w:val="none"/>
              </w:rPr>
              <w:t>（北京时间）前提交响应文件。</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000000"/>
          <w:szCs w:val="21"/>
          <w:highlight w:val="none"/>
        </w:rPr>
      </w:pPr>
      <w:r>
        <w:rPr>
          <w:rFonts w:hint="eastAsia" w:ascii="宋体" w:hAnsi="宋体" w:cs="宋体"/>
          <w:b/>
          <w:bCs/>
          <w:color w:val="000000"/>
          <w:szCs w:val="21"/>
          <w:highlight w:val="none"/>
        </w:rPr>
        <w:t>一、</w:t>
      </w:r>
      <w:r>
        <w:rPr>
          <w:rFonts w:hint="eastAsia" w:ascii="宋体" w:hAnsi="宋体" w:cs="宋体"/>
          <w:b/>
          <w:bCs/>
          <w:szCs w:val="21"/>
          <w:highlight w:val="none"/>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1.项目编号：</w:t>
      </w:r>
      <w:r>
        <w:rPr>
          <w:rFonts w:hint="eastAsia" w:ascii="宋体" w:hAnsi="宋体" w:cs="宋体"/>
          <w:szCs w:val="21"/>
          <w:highlight w:val="none"/>
          <w:lang w:eastAsia="zh-CN"/>
        </w:rPr>
        <w:t>青枫采竞-2023020</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2.项目名称：</w:t>
      </w:r>
      <w:r>
        <w:rPr>
          <w:rFonts w:hint="eastAsia" w:ascii="宋体" w:hAnsi="宋体" w:cs="宋体"/>
          <w:szCs w:val="21"/>
          <w:highlight w:val="none"/>
          <w:lang w:eastAsia="zh-CN"/>
        </w:rPr>
        <w:t>2023紫云小学环境文化布置项目</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3.采购方式：竞争性谈判</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4.预算金额：</w:t>
      </w:r>
      <w:r>
        <w:rPr>
          <w:rFonts w:hint="eastAsia" w:ascii="宋体" w:hAnsi="宋体" w:cs="宋体"/>
          <w:b/>
          <w:bCs/>
          <w:szCs w:val="21"/>
          <w:highlight w:val="none"/>
          <w:lang w:val="en-US" w:eastAsia="zh-CN"/>
        </w:rPr>
        <w:t>人民币贰拾柒万柒仟零肆拾贰元捌角（¥277042.80）</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5.最高限价：</w:t>
      </w:r>
      <w:r>
        <w:rPr>
          <w:rFonts w:hint="eastAsia" w:ascii="宋体" w:hAnsi="宋体" w:cs="宋体"/>
          <w:b/>
          <w:bCs/>
          <w:szCs w:val="21"/>
          <w:highlight w:val="none"/>
          <w:lang w:val="en-US" w:eastAsia="zh-CN"/>
        </w:rPr>
        <w:t>人民币贰拾柒万柒仟零肆拾贰元捌角（¥277042.80）</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6.采购需求：本项为</w:t>
      </w:r>
      <w:r>
        <w:rPr>
          <w:rFonts w:hint="eastAsia" w:ascii="宋体" w:hAnsi="宋体" w:cs="宋体"/>
          <w:szCs w:val="21"/>
          <w:highlight w:val="none"/>
          <w:lang w:eastAsia="zh-CN"/>
        </w:rPr>
        <w:t>2023紫云小学环境文化布置项目</w:t>
      </w:r>
      <w:r>
        <w:rPr>
          <w:rFonts w:hint="eastAsia" w:ascii="宋体" w:hAnsi="宋体" w:cs="宋体"/>
          <w:szCs w:val="21"/>
          <w:highlight w:val="none"/>
        </w:rPr>
        <w:t>。包括但不限于</w:t>
      </w:r>
      <w:r>
        <w:rPr>
          <w:rFonts w:hint="eastAsia" w:ascii="宋体" w:hAnsi="宋体" w:cs="宋体"/>
          <w:szCs w:val="21"/>
          <w:highlight w:val="none"/>
          <w:lang w:eastAsia="zh-CN"/>
        </w:rPr>
        <w:t>谈判文件</w:t>
      </w:r>
      <w:r>
        <w:rPr>
          <w:rFonts w:hint="eastAsia" w:ascii="宋体" w:hAnsi="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cs="宋体"/>
          <w:szCs w:val="21"/>
          <w:highlight w:val="none"/>
          <w:lang w:eastAsia="zh-CN"/>
        </w:rPr>
        <w:t>谈判文件</w:t>
      </w:r>
      <w:r>
        <w:rPr>
          <w:rFonts w:hint="eastAsia" w:ascii="宋体" w:hAnsi="宋体" w:cs="宋体"/>
          <w:szCs w:val="21"/>
          <w:highlight w:val="none"/>
        </w:rPr>
        <w:t>所要求的相关工程等全部内容。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7.合同履行期限：</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个日历日内完工</w:t>
      </w:r>
      <w:r>
        <w:rPr>
          <w:rFonts w:hint="eastAsia" w:ascii="宋体" w:hAnsi="宋体" w:eastAsia="宋体" w:cs="宋体"/>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8.本项目不接受联合体投标。</w:t>
      </w:r>
    </w:p>
    <w:bookmarkEnd w:id="0"/>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二、申请人的资格要求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2.落实政府采购政策需满足的资格要求：无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3.本项目的特定资格要求：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）未被“信用中国”网站（www.creditchina.gov.cn）、中国政府采购网(www.ccgp.gov.cn)列入失信被执行人、重大税收违法案件当事人名单、政府采购严重失信行为记录名单。</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三、获取采购文件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12</w:t>
      </w:r>
      <w:r>
        <w:rPr>
          <w:rFonts w:hint="eastAsia" w:ascii="宋体" w:hAnsi="宋体" w:cs="宋体"/>
          <w:b/>
          <w:bCs/>
          <w:szCs w:val="21"/>
          <w:highlight w:val="none"/>
        </w:rPr>
        <w:t>月</w:t>
      </w:r>
      <w:r>
        <w:rPr>
          <w:rFonts w:hint="eastAsia" w:ascii="宋体" w:hAnsi="宋体" w:cs="宋体"/>
          <w:b/>
          <w:bCs/>
          <w:szCs w:val="21"/>
          <w:highlight w:val="none"/>
          <w:lang w:val="en-US" w:eastAsia="zh-CN"/>
        </w:rPr>
        <w:t>11</w:t>
      </w:r>
      <w:r>
        <w:rPr>
          <w:rFonts w:hint="eastAsia" w:ascii="宋体" w:hAnsi="宋体" w:cs="宋体"/>
          <w:b/>
          <w:bCs/>
          <w:szCs w:val="21"/>
          <w:highlight w:val="none"/>
        </w:rPr>
        <w:t>日至202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12</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w:t>
      </w:r>
      <w:r>
        <w:rPr>
          <w:rFonts w:hint="eastAsia" w:ascii="宋体" w:hAnsi="宋体" w:cs="宋体"/>
          <w:b/>
          <w:bCs/>
          <w:szCs w:val="21"/>
          <w:highlight w:val="none"/>
          <w:lang w:val="en-US" w:eastAsia="zh-CN"/>
        </w:rPr>
        <w:t>13</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分前</w:t>
      </w:r>
      <w:r>
        <w:rPr>
          <w:rFonts w:hint="eastAsia" w:ascii="宋体" w:hAnsi="宋体" w:cs="宋体"/>
          <w:szCs w:val="21"/>
          <w:highlight w:val="none"/>
        </w:rPr>
        <w:t>（北京时间）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3.售价：人民币伍佰元整（该费用需在响应文件递交前缴纳，否则其响应文件将被拒绝）</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12</w:t>
      </w:r>
      <w:r>
        <w:rPr>
          <w:rFonts w:hint="eastAsia" w:ascii="宋体" w:hAnsi="宋体" w:cs="宋体"/>
          <w:b/>
          <w:bCs/>
          <w:szCs w:val="21"/>
          <w:highlight w:val="none"/>
        </w:rPr>
        <w:t>月</w:t>
      </w:r>
      <w:r>
        <w:rPr>
          <w:rFonts w:hint="eastAsia" w:ascii="宋体" w:hAnsi="宋体" w:cs="宋体"/>
          <w:b/>
          <w:bCs/>
          <w:szCs w:val="21"/>
          <w:highlight w:val="none"/>
          <w:lang w:val="en-US" w:eastAsia="zh-CN"/>
        </w:rPr>
        <w:t>14</w:t>
      </w:r>
      <w:r>
        <w:rPr>
          <w:rFonts w:hint="eastAsia" w:ascii="宋体" w:hAnsi="宋体" w:cs="宋体"/>
          <w:b/>
          <w:bCs/>
          <w:szCs w:val="21"/>
          <w:highlight w:val="none"/>
        </w:rPr>
        <w:t>日</w:t>
      </w:r>
      <w:r>
        <w:rPr>
          <w:rFonts w:hint="eastAsia" w:ascii="宋体" w:hAnsi="宋体" w:cs="宋体"/>
          <w:b/>
          <w:bCs/>
          <w:szCs w:val="21"/>
          <w:highlight w:val="none"/>
          <w:lang w:val="en-US" w:eastAsia="zh-CN"/>
        </w:rPr>
        <w:t>13</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r>
        <w:rPr>
          <w:rFonts w:hint="eastAsia" w:ascii="宋体" w:hAnsi="宋体" w:cs="宋体"/>
          <w:szCs w:val="21"/>
          <w:highlight w:val="none"/>
        </w:rPr>
        <w:t>（北京时间）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2.地点：</w:t>
      </w:r>
      <w:r>
        <w:rPr>
          <w:rFonts w:hint="eastAsia" w:ascii="宋体" w:hAnsi="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五、公告期限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自本公告发布之日起3</w:t>
      </w:r>
      <w:r>
        <w:rPr>
          <w:rFonts w:hint="eastAsia" w:ascii="宋体" w:hAnsi="宋体" w:cs="宋体"/>
          <w:szCs w:val="21"/>
          <w:highlight w:val="none"/>
          <w:lang w:val="en-US" w:eastAsia="zh-CN"/>
        </w:rPr>
        <w:t>个工作</w:t>
      </w:r>
      <w:r>
        <w:rPr>
          <w:rFonts w:hint="eastAsia" w:ascii="宋体" w:hAnsi="宋体" w:cs="宋体"/>
          <w:szCs w:val="21"/>
          <w:highlight w:val="none"/>
        </w:rPr>
        <w:t>日。</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六、其他补充事宜</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1.谈判保证金</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本项目无需缴纳保证金</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2.现场踏勘及标前答疑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（1）供应商自行踏勘现场。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（2）标前答疑：供应商对谈判文件如有疑问，请将疑问于</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12</w:t>
      </w:r>
      <w:r>
        <w:rPr>
          <w:rFonts w:hint="eastAsia" w:ascii="宋体" w:hAnsi="宋体" w:cs="宋体"/>
          <w:b/>
          <w:bCs/>
          <w:szCs w:val="21"/>
          <w:highlight w:val="none"/>
        </w:rPr>
        <w:t>月</w:t>
      </w:r>
      <w:r>
        <w:rPr>
          <w:rFonts w:hint="eastAsia" w:ascii="宋体" w:hAnsi="宋体" w:cs="宋体"/>
          <w:b/>
          <w:bCs/>
          <w:szCs w:val="21"/>
          <w:highlight w:val="none"/>
          <w:lang w:val="en-US" w:eastAsia="zh-CN"/>
        </w:rPr>
        <w:t>13</w:t>
      </w:r>
      <w:r>
        <w:rPr>
          <w:rFonts w:hint="eastAsia" w:ascii="宋体" w:hAnsi="宋体" w:cs="宋体"/>
          <w:b/>
          <w:bCs/>
          <w:szCs w:val="21"/>
          <w:highlight w:val="none"/>
        </w:rPr>
        <w:t>日</w:t>
      </w:r>
      <w:r>
        <w:rPr>
          <w:rFonts w:hint="eastAsia" w:ascii="宋体" w:hAnsi="宋体" w:cs="宋体"/>
          <w:b/>
          <w:bCs/>
          <w:szCs w:val="21"/>
          <w:highlight w:val="none"/>
          <w:lang w:val="en-US" w:eastAsia="zh-CN"/>
        </w:rPr>
        <w:t>17</w:t>
      </w:r>
      <w:r>
        <w:rPr>
          <w:rFonts w:hint="eastAsia" w:ascii="宋体" w:hAnsi="宋体" w:cs="宋体"/>
          <w:b/>
          <w:bCs/>
          <w:szCs w:val="21"/>
          <w:highlight w:val="none"/>
        </w:rPr>
        <w:t>:30前</w:t>
      </w:r>
      <w:r>
        <w:rPr>
          <w:rFonts w:hint="eastAsia" w:ascii="宋体" w:hAnsi="宋体" w:cs="宋体"/>
          <w:szCs w:val="21"/>
          <w:highlight w:val="none"/>
        </w:rPr>
        <w:t>以书面原件形式递交至常州青枫招标有限公司。（注：提疑文件：① 必须加盖供应商公章；② 以代理机构收到时间为准。否则代理机构有权拒收其递交的文件）。</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3.谈判文件售后一概不退。供应商递交的响应文件概不退还。一经领购不接受修改。</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4.本项目资格后审。</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5.公告发布媒体：常州青枫招标有限公司网站</w:t>
      </w:r>
      <w:r>
        <w:rPr>
          <w:rFonts w:hint="eastAsia" w:ascii="宋体" w:hAnsi="宋体" w:cs="宋体"/>
          <w:b/>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七、凡对本次采购提出询问，请按以下方式联系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采购人</w:t>
      </w:r>
      <w:r>
        <w:rPr>
          <w:rFonts w:hint="eastAsia" w:ascii="宋体" w:hAnsi="宋体" w:cs="宋体"/>
          <w:b/>
          <w:bCs/>
          <w:szCs w:val="21"/>
          <w:highlight w:val="none"/>
        </w:rPr>
        <w:t>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名称：常州市紫云小学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地址：常州市紫云苑小区东侧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联系方式：13401600512</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2.代理机构信息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名称：常州青枫招标有限公司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联系方式：0519-88119558</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3.项目联系方式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val="en-US" w:eastAsia="zh-CN"/>
        </w:rPr>
        <w:t>薛</w:t>
      </w:r>
      <w:r>
        <w:rPr>
          <w:rFonts w:hint="eastAsia" w:ascii="宋体" w:hAnsi="宋体" w:cs="宋体"/>
          <w:szCs w:val="21"/>
          <w:highlight w:val="none"/>
        </w:rPr>
        <w:t>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电话：0519-88119558</w:t>
      </w:r>
      <w:bookmarkStart w:id="1" w:name="_Toc2164"/>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邮箱：qf@czqfzb.com</w:t>
      </w: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ascii="宋体" w:hAnsi="宋体" w:cs="宋体"/>
          <w:b/>
          <w:bCs/>
          <w:sz w:val="28"/>
          <w:szCs w:val="28"/>
          <w:highlight w:val="none"/>
        </w:rPr>
      </w:pPr>
      <w:r>
        <w:rPr>
          <w:rFonts w:hint="eastAsia" w:ascii="宋体" w:hAnsi="宋体" w:cs="宋体"/>
          <w:b/>
          <w:bCs/>
          <w:sz w:val="28"/>
          <w:szCs w:val="28"/>
          <w:highlight w:val="none"/>
        </w:rPr>
        <w:t>第一章    总     则</w:t>
      </w:r>
      <w:bookmarkEnd w:id="1"/>
    </w:p>
    <w:p>
      <w:pPr>
        <w:keepNext w:val="0"/>
        <w:keepLines w:val="0"/>
        <w:pageBreakBefore w:val="0"/>
        <w:wordWrap/>
        <w:topLinePunct w:val="0"/>
        <w:bidi w:val="0"/>
        <w:snapToGrid/>
        <w:spacing w:line="440" w:lineRule="exact"/>
        <w:rPr>
          <w:rFonts w:ascii="宋体" w:hAnsi="宋体" w:cs="宋体"/>
          <w:b/>
          <w:bCs/>
          <w:szCs w:val="21"/>
          <w:highlight w:val="none"/>
        </w:rPr>
      </w:pPr>
      <w:r>
        <w:rPr>
          <w:rFonts w:hint="eastAsia" w:ascii="宋体" w:hAnsi="宋体" w:cs="宋体"/>
          <w:b/>
          <w:bCs/>
          <w:szCs w:val="21"/>
          <w:highlight w:val="none"/>
        </w:rPr>
        <w:t>1、招标方式</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本次招标采取竞争性谈判方式，本谈判文件仅适用于竞争性谈判公告中所述项目。</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2、合格的供应商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2.1满足竞争性谈判公告中对供应商资格要求的规定。</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rPr>
      </w:pPr>
      <w:r>
        <w:rPr>
          <w:rFonts w:hint="eastAsia" w:ascii="宋体" w:hAnsi="宋体" w:cs="宋体"/>
          <w:szCs w:val="21"/>
          <w:highlight w:val="none"/>
        </w:rPr>
        <w:t>2.2 满足本文件实质性条款的规定。</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3、投标费用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供应商应承担其编制响应文件与递交响应文件所涉及的一切费用。不管投标结果如何，代理机构或</w:t>
      </w:r>
      <w:r>
        <w:rPr>
          <w:rFonts w:hint="eastAsia" w:ascii="宋体" w:hAnsi="宋体" w:cs="宋体"/>
          <w:szCs w:val="21"/>
          <w:highlight w:val="none"/>
          <w:lang w:eastAsia="zh-CN"/>
        </w:rPr>
        <w:t>采购人</w:t>
      </w:r>
      <w:r>
        <w:rPr>
          <w:rFonts w:hint="eastAsia" w:ascii="宋体" w:hAnsi="宋体" w:cs="宋体"/>
          <w:szCs w:val="21"/>
          <w:highlight w:val="none"/>
        </w:rPr>
        <w:t>对上述费用不负任何责任。</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4、谈判文件的组成</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4.1本文件及依法对本文件所作的更正内容均为谈判文件的组成部分。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4.2供应商应仔细检查谈判文件是否齐全，如有缺漏，立即与代理机构联系解决。</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4.4供应商一旦参加本项目采购活动，即被认为接受了本谈判文件的规定和约束。</w:t>
      </w:r>
    </w:p>
    <w:p>
      <w:pPr>
        <w:pStyle w:val="2"/>
        <w:keepNext w:val="0"/>
        <w:keepLines w:val="0"/>
        <w:pageBreakBefore w:val="0"/>
        <w:wordWrap/>
        <w:topLinePunct w:val="0"/>
        <w:bidi w:val="0"/>
        <w:snapToGrid/>
        <w:spacing w:line="440" w:lineRule="exact"/>
        <w:rPr>
          <w:rFonts w:ascii="宋体" w:hAnsi="宋体" w:cs="宋体"/>
          <w:highlight w:val="none"/>
        </w:rPr>
      </w:pPr>
      <w:r>
        <w:rPr>
          <w:rFonts w:hint="eastAsia" w:ascii="宋体" w:hAnsi="宋体" w:cs="宋体"/>
          <w:b/>
          <w:bCs/>
          <w:szCs w:val="21"/>
          <w:highlight w:val="none"/>
        </w:rPr>
        <w:t>4.5 谈判文件有询问或者质疑（投诉）的，由供应商向</w:t>
      </w:r>
      <w:r>
        <w:rPr>
          <w:rFonts w:hint="eastAsia" w:ascii="宋体" w:hAnsi="宋体" w:cs="宋体"/>
          <w:b/>
          <w:bCs/>
          <w:szCs w:val="21"/>
          <w:highlight w:val="none"/>
          <w:lang w:val="en-US" w:eastAsia="zh-CN"/>
        </w:rPr>
        <w:t>代理机构</w:t>
      </w:r>
      <w:r>
        <w:rPr>
          <w:rFonts w:hint="eastAsia" w:ascii="宋体" w:hAnsi="宋体" w:cs="宋体"/>
          <w:b/>
          <w:bCs/>
          <w:szCs w:val="21"/>
          <w:highlight w:val="none"/>
        </w:rPr>
        <w:t>书面提出，由</w:t>
      </w:r>
      <w:r>
        <w:rPr>
          <w:rFonts w:hint="eastAsia" w:ascii="宋体" w:hAnsi="宋体" w:cs="宋体"/>
          <w:b/>
          <w:bCs/>
          <w:szCs w:val="21"/>
          <w:highlight w:val="none"/>
          <w:lang w:val="en-US" w:eastAsia="zh-CN"/>
        </w:rPr>
        <w:t>代理机构</w:t>
      </w:r>
      <w:r>
        <w:rPr>
          <w:rFonts w:hint="eastAsia" w:ascii="宋体" w:hAnsi="宋体" w:cs="宋体"/>
          <w:b/>
          <w:bCs/>
          <w:szCs w:val="21"/>
          <w:highlight w:val="none"/>
        </w:rPr>
        <w:t>负责接收和回复</w:t>
      </w:r>
      <w:r>
        <w:rPr>
          <w:rFonts w:hint="eastAsia" w:ascii="宋体" w:hAnsi="宋体" w:cs="宋体"/>
          <w:b/>
          <w:bCs/>
          <w:szCs w:val="21"/>
          <w:highlight w:val="none"/>
          <w:lang w:eastAsia="zh-CN"/>
        </w:rPr>
        <w:t>，采购人</w:t>
      </w:r>
      <w:r>
        <w:rPr>
          <w:rFonts w:hint="eastAsia" w:ascii="宋体" w:hAnsi="宋体" w:cs="宋体"/>
          <w:b/>
          <w:bCs/>
          <w:szCs w:val="21"/>
          <w:highlight w:val="none"/>
        </w:rPr>
        <w:t>负责</w:t>
      </w:r>
      <w:r>
        <w:rPr>
          <w:rFonts w:hint="eastAsia" w:ascii="宋体" w:hAnsi="宋体" w:cs="宋体"/>
          <w:b/>
          <w:bCs/>
          <w:szCs w:val="21"/>
          <w:highlight w:val="none"/>
          <w:lang w:val="en-US" w:eastAsia="zh-CN"/>
        </w:rPr>
        <w:t>审核</w:t>
      </w:r>
      <w:r>
        <w:rPr>
          <w:rFonts w:hint="eastAsia" w:ascii="宋体" w:hAnsi="宋体" w:cs="宋体"/>
          <w:b/>
          <w:bCs/>
          <w:szCs w:val="21"/>
          <w:highlight w:val="none"/>
        </w:rPr>
        <w:t>。</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5、谈判文件的澄清、补充、更正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5.1 代理机构向供应商提供的有关资料和数据，是代理机构现有的能使供应商利用的资料。代理机构对供应商由此而作出的推论、理解和结论概不负责。供应商</w:t>
      </w:r>
      <w:r>
        <w:rPr>
          <w:rFonts w:hint="eastAsia" w:ascii="宋体" w:hAnsi="宋体" w:cs="宋体"/>
          <w:bCs/>
          <w:szCs w:val="21"/>
          <w:highlight w:val="none"/>
        </w:rPr>
        <w:t>由于对谈判文件的任何推论和误解以及</w:t>
      </w:r>
      <w:r>
        <w:rPr>
          <w:rFonts w:hint="eastAsia" w:ascii="宋体" w:hAnsi="宋体" w:cs="宋体"/>
          <w:bCs/>
          <w:szCs w:val="21"/>
          <w:highlight w:val="none"/>
          <w:lang w:eastAsia="zh-CN"/>
        </w:rPr>
        <w:t>采购人</w:t>
      </w:r>
      <w:r>
        <w:rPr>
          <w:rFonts w:hint="eastAsia" w:ascii="宋体" w:hAnsi="宋体" w:cs="宋体"/>
          <w:bCs/>
          <w:szCs w:val="21"/>
          <w:highlight w:val="none"/>
        </w:rPr>
        <w:t>对有关问题的口头解释所造成的后果，均由供应商自行负责。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5.2 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lang w:val="zh-CN"/>
        </w:rPr>
      </w:pPr>
      <w:r>
        <w:rPr>
          <w:rFonts w:hint="eastAsia" w:ascii="宋体" w:hAnsi="宋体" w:cs="宋体"/>
          <w:bCs/>
          <w:szCs w:val="21"/>
          <w:highlight w:val="none"/>
        </w:rPr>
        <w:t>5.3</w:t>
      </w:r>
      <w:r>
        <w:rPr>
          <w:rFonts w:hint="eastAsia" w:ascii="宋体" w:hAnsi="宋体" w:cs="宋体"/>
          <w:bCs/>
          <w:szCs w:val="21"/>
          <w:highlight w:val="none"/>
          <w:lang w:eastAsia="zh-CN"/>
        </w:rPr>
        <w:t>采购人</w:t>
      </w:r>
      <w:r>
        <w:rPr>
          <w:rFonts w:hint="eastAsia" w:ascii="宋体" w:hAnsi="宋体" w:cs="宋体"/>
          <w:bCs/>
          <w:szCs w:val="21"/>
          <w:highlight w:val="none"/>
        </w:rPr>
        <w:t>及代理机构有权对已发出的谈判文件进行必要的澄清或更正。</w:t>
      </w:r>
    </w:p>
    <w:p>
      <w:pPr>
        <w:pStyle w:val="2"/>
        <w:keepNext w:val="0"/>
        <w:keepLines w:val="0"/>
        <w:pageBreakBefore w:val="0"/>
        <w:wordWrap/>
        <w:topLinePunct w:val="0"/>
        <w:bidi w:val="0"/>
        <w:snapToGrid/>
        <w:spacing w:line="440" w:lineRule="exact"/>
        <w:rPr>
          <w:rFonts w:ascii="宋体" w:hAnsi="宋体" w:cs="宋体"/>
          <w:b/>
          <w:szCs w:val="21"/>
          <w:highlight w:val="none"/>
          <w:lang w:val="zh-CN"/>
        </w:rPr>
      </w:pPr>
      <w:r>
        <w:rPr>
          <w:rFonts w:hint="eastAsia" w:ascii="宋体" w:hAnsi="宋体" w:cs="宋体"/>
          <w:b/>
          <w:szCs w:val="21"/>
          <w:highlight w:val="none"/>
        </w:rPr>
        <w:t>5.4</w:t>
      </w:r>
      <w:r>
        <w:rPr>
          <w:rFonts w:hint="eastAsia" w:ascii="宋体" w:hAnsi="宋体" w:cs="宋体"/>
          <w:b/>
          <w:bCs/>
          <w:szCs w:val="21"/>
          <w:highlight w:val="none"/>
        </w:rPr>
        <w:t>所有有关谈判文件</w:t>
      </w:r>
      <w:r>
        <w:rPr>
          <w:rFonts w:hint="eastAsia" w:ascii="宋体" w:hAnsi="宋体" w:cs="宋体"/>
          <w:b/>
          <w:szCs w:val="21"/>
          <w:highlight w:val="none"/>
        </w:rPr>
        <w:t>的澄清、</w:t>
      </w:r>
      <w:r>
        <w:rPr>
          <w:rFonts w:hint="eastAsia" w:ascii="宋体" w:hAnsi="宋体" w:cs="宋体"/>
          <w:b/>
          <w:szCs w:val="21"/>
          <w:highlight w:val="none"/>
          <w:lang w:val="zh-CN"/>
        </w:rPr>
        <w:t>补充、更正</w:t>
      </w:r>
      <w:r>
        <w:rPr>
          <w:rFonts w:hint="eastAsia" w:ascii="宋体" w:hAnsi="宋体" w:cs="宋体"/>
          <w:b/>
          <w:szCs w:val="21"/>
          <w:highlight w:val="none"/>
        </w:rPr>
        <w:t>将在“常州青枫招标有限公司”网站以</w:t>
      </w:r>
      <w:r>
        <w:rPr>
          <w:rFonts w:hint="eastAsia" w:ascii="宋体" w:hAnsi="宋体" w:cs="宋体"/>
          <w:b/>
          <w:szCs w:val="21"/>
          <w:highlight w:val="none"/>
          <w:lang w:val="zh-CN"/>
        </w:rPr>
        <w:t>补充公告形式在网上发布</w:t>
      </w:r>
      <w:r>
        <w:rPr>
          <w:rFonts w:hint="eastAsia" w:ascii="宋体" w:hAnsi="宋体" w:cs="宋体"/>
          <w:b/>
          <w:szCs w:val="21"/>
          <w:highlight w:val="none"/>
        </w:rPr>
        <w:t>。补充文件（澄清、补充、更正公告等）将作为谈判文件的组成部分，并对供应商具有约束力，由供应商自行关注并获取。</w:t>
      </w:r>
    </w:p>
    <w:p>
      <w:pPr>
        <w:keepNext w:val="0"/>
        <w:keepLines w:val="0"/>
        <w:pageBreakBefore w:val="0"/>
        <w:wordWrap/>
        <w:topLinePunct w:val="0"/>
        <w:bidi w:val="0"/>
        <w:snapToGrid/>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5.5</w:t>
      </w:r>
      <w:r>
        <w:rPr>
          <w:rFonts w:hint="eastAsia" w:ascii="宋体" w:hAnsi="宋体" w:cs="宋体"/>
          <w:bCs/>
          <w:szCs w:val="21"/>
          <w:highlight w:val="none"/>
          <w:lang w:eastAsia="zh-CN"/>
        </w:rPr>
        <w:t>采购人</w:t>
      </w:r>
      <w:r>
        <w:rPr>
          <w:rFonts w:hint="eastAsia" w:ascii="宋体" w:hAnsi="宋体" w:cs="宋体"/>
          <w:bCs/>
          <w:szCs w:val="21"/>
          <w:highlight w:val="none"/>
        </w:rPr>
        <w:t>可视具体情况，延长投标截止时间和谈判时间，并将此变更以公告形式通知所有谈判文件收受人。</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6、供应商的义务</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6.1 供应商应当认真阅读谈判文件，完全明了招标项目之名称、用途、数量、质量和交货日期，完全明了供应商所应具备的资格条件。</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6.2 供应商应当按照谈判文件的要求编制响应文件。响应文件应对谈判文件提出的实质性要求和条件作出完全响应。</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6.3 供应商应在投标截止时间前，将密封的响应文件送达投标地点。</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6.4 供应商不得相互串通谈判报价，不得排挤其他供应商的公平竞争，损害</w:t>
      </w:r>
      <w:r>
        <w:rPr>
          <w:rFonts w:hint="eastAsia" w:ascii="宋体" w:hAnsi="宋体" w:cs="宋体"/>
          <w:szCs w:val="21"/>
          <w:highlight w:val="none"/>
          <w:lang w:eastAsia="zh-CN"/>
        </w:rPr>
        <w:t>采购人</w:t>
      </w:r>
      <w:r>
        <w:rPr>
          <w:rFonts w:hint="eastAsia" w:ascii="宋体" w:hAnsi="宋体" w:cs="宋体"/>
          <w:szCs w:val="21"/>
          <w:highlight w:val="none"/>
        </w:rPr>
        <w:t>或者其他供应商合法权益。供应商不得与</w:t>
      </w:r>
      <w:r>
        <w:rPr>
          <w:rFonts w:hint="eastAsia" w:ascii="宋体" w:hAnsi="宋体" w:cs="宋体"/>
          <w:szCs w:val="21"/>
          <w:highlight w:val="none"/>
          <w:lang w:eastAsia="zh-CN"/>
        </w:rPr>
        <w:t>采购人</w:t>
      </w:r>
      <w:r>
        <w:rPr>
          <w:rFonts w:hint="eastAsia" w:ascii="宋体" w:hAnsi="宋体" w:cs="宋体"/>
          <w:szCs w:val="21"/>
          <w:highlight w:val="none"/>
        </w:rPr>
        <w:t>串通投标，损害国家利益，公众利益或者他人的合法权益。</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6.5 供应商在投标截止时间前，对所提交的响应文件可以补充、修改或者撤回，并书面通知</w:t>
      </w:r>
      <w:r>
        <w:rPr>
          <w:rFonts w:hint="eastAsia" w:ascii="宋体" w:hAnsi="宋体" w:cs="宋体"/>
          <w:szCs w:val="21"/>
          <w:highlight w:val="none"/>
          <w:lang w:eastAsia="zh-CN"/>
        </w:rPr>
        <w:t>采购人</w:t>
      </w:r>
      <w:r>
        <w:rPr>
          <w:rFonts w:hint="eastAsia" w:ascii="宋体" w:hAnsi="宋体" w:cs="宋体"/>
          <w:bCs/>
          <w:szCs w:val="21"/>
          <w:highlight w:val="none"/>
        </w:rPr>
        <w:t>及代理机构</w:t>
      </w:r>
      <w:r>
        <w:rPr>
          <w:rFonts w:hint="eastAsia" w:ascii="宋体" w:hAnsi="宋体" w:cs="宋体"/>
          <w:szCs w:val="21"/>
          <w:highlight w:val="none"/>
        </w:rPr>
        <w:t>。补充、修改的内容为响应文件的组成部分。</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7、谈判报价</w:t>
      </w:r>
    </w:p>
    <w:p>
      <w:pPr>
        <w:spacing w:line="4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0"/>
          <w:sz w:val="21"/>
          <w:szCs w:val="21"/>
          <w:highlight w:val="none"/>
          <w:lang w:eastAsia="en-US"/>
        </w:rPr>
        <w:t>7.1本工程投标报价采用</w:t>
      </w:r>
      <w:r>
        <w:rPr>
          <w:rFonts w:hint="eastAsia" w:ascii="宋体" w:hAnsi="宋体" w:eastAsia="宋体" w:cs="宋体"/>
          <w:b/>
          <w:bCs/>
          <w:kern w:val="2"/>
          <w:sz w:val="21"/>
          <w:szCs w:val="21"/>
          <w:highlight w:val="none"/>
          <w:u w:val="single"/>
          <w:lang w:val="en-US" w:eastAsia="zh-CN"/>
        </w:rPr>
        <w:t>固定</w:t>
      </w:r>
      <w:r>
        <w:rPr>
          <w:rFonts w:hint="eastAsia" w:ascii="宋体" w:hAnsi="宋体" w:eastAsia="宋体" w:cs="宋体"/>
          <w:b/>
          <w:bCs/>
          <w:kern w:val="2"/>
          <w:sz w:val="21"/>
          <w:szCs w:val="21"/>
          <w:highlight w:val="none"/>
          <w:u w:val="single"/>
          <w:lang w:eastAsia="zh-CN"/>
        </w:rPr>
        <w:t>全费用单价</w:t>
      </w:r>
      <w:r>
        <w:rPr>
          <w:rFonts w:hint="eastAsia" w:ascii="宋体" w:hAnsi="宋体" w:eastAsia="宋体" w:cs="宋体"/>
          <w:b/>
          <w:kern w:val="2"/>
          <w:sz w:val="21"/>
          <w:szCs w:val="21"/>
          <w:highlight w:val="none"/>
          <w:u w:val="single"/>
          <w:lang w:val="en-US" w:eastAsia="zh-CN"/>
        </w:rPr>
        <w:t>报价</w:t>
      </w:r>
      <w:r>
        <w:rPr>
          <w:rFonts w:hint="eastAsia" w:ascii="宋体" w:hAnsi="宋体" w:eastAsia="宋体" w:cs="宋体"/>
          <w:kern w:val="2"/>
          <w:sz w:val="21"/>
          <w:szCs w:val="21"/>
          <w:highlight w:val="none"/>
          <w:lang w:eastAsia="zh-CN"/>
        </w:rPr>
        <w:t>，应包括但不限于</w:t>
      </w:r>
      <w:r>
        <w:rPr>
          <w:rFonts w:hint="eastAsia" w:ascii="宋体" w:hAnsi="宋体" w:cs="宋体"/>
          <w:kern w:val="2"/>
          <w:sz w:val="21"/>
          <w:szCs w:val="21"/>
          <w:highlight w:val="none"/>
          <w:lang w:eastAsia="zh-CN"/>
        </w:rPr>
        <w:t>谈判文件</w:t>
      </w:r>
      <w:r>
        <w:rPr>
          <w:rFonts w:hint="eastAsia" w:ascii="宋体" w:hAnsi="宋体" w:eastAsia="宋体" w:cs="宋体"/>
          <w:kern w:val="2"/>
          <w:sz w:val="21"/>
          <w:szCs w:val="21"/>
          <w:highlight w:val="none"/>
          <w:lang w:eastAsia="zh-CN"/>
        </w:rPr>
        <w:t>及其基本技术要求范围内相应服务前的准备（包括现场踏勘等）</w:t>
      </w:r>
      <w:r>
        <w:rPr>
          <w:rFonts w:hint="eastAsia" w:ascii="宋体" w:hAnsi="宋体" w:eastAsia="宋体" w:cs="宋体"/>
          <w:b/>
          <w:kern w:val="2"/>
          <w:sz w:val="21"/>
          <w:szCs w:val="21"/>
          <w:highlight w:val="none"/>
          <w:lang w:eastAsia="zh-CN"/>
        </w:rPr>
        <w:t>、</w:t>
      </w:r>
      <w:r>
        <w:rPr>
          <w:rFonts w:hint="eastAsia" w:ascii="宋体" w:hAnsi="宋体" w:eastAsia="宋体" w:cs="宋体"/>
          <w:b/>
          <w:kern w:val="2"/>
          <w:sz w:val="21"/>
          <w:szCs w:val="21"/>
          <w:highlight w:val="none"/>
          <w:lang w:val="en-US" w:eastAsia="zh-CN"/>
        </w:rPr>
        <w:t>人工、材料、工器具机械、措施费、</w:t>
      </w:r>
      <w:r>
        <w:rPr>
          <w:rFonts w:hint="eastAsia" w:ascii="宋体" w:hAnsi="宋体" w:eastAsia="宋体" w:cs="宋体"/>
          <w:b/>
          <w:kern w:val="2"/>
          <w:sz w:val="21"/>
          <w:szCs w:val="21"/>
          <w:highlight w:val="none"/>
          <w:lang w:eastAsia="zh-CN"/>
        </w:rPr>
        <w:t>管理、培训、利润、税金、风险及政策性文件规定等各项应有费用，以及为完成本项目所涉及到的一切相关费用。</w:t>
      </w:r>
      <w:r>
        <w:rPr>
          <w:rFonts w:hint="eastAsia" w:ascii="宋体" w:hAnsi="宋体" w:eastAsia="宋体" w:cs="宋体"/>
          <w:kern w:val="2"/>
          <w:sz w:val="21"/>
          <w:szCs w:val="21"/>
          <w:highlight w:val="none"/>
          <w:lang w:eastAsia="zh-CN"/>
        </w:rPr>
        <w:t>同时，除非合同条款中另有规定，否则，投标人所报价格在合同投标、实施期间不因市场变化因素而变动。投标报价必须打印，各项目必须填写完整、准确，服务周期需如实填报。报价单必须加盖单位公章，法人代表或委托授权人签字。</w:t>
      </w:r>
    </w:p>
    <w:p>
      <w:pPr>
        <w:spacing w:line="4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7.2 投标人需按</w:t>
      </w:r>
      <w:r>
        <w:rPr>
          <w:rFonts w:hint="eastAsia" w:ascii="宋体" w:hAnsi="宋体" w:cs="宋体"/>
          <w:kern w:val="2"/>
          <w:sz w:val="21"/>
          <w:szCs w:val="21"/>
          <w:highlight w:val="none"/>
          <w:lang w:eastAsia="zh-CN"/>
        </w:rPr>
        <w:t>谈判文件</w:t>
      </w:r>
      <w:r>
        <w:rPr>
          <w:rFonts w:hint="eastAsia" w:ascii="宋体" w:hAnsi="宋体" w:eastAsia="宋体" w:cs="宋体"/>
          <w:kern w:val="2"/>
          <w:sz w:val="21"/>
          <w:szCs w:val="21"/>
          <w:highlight w:val="none"/>
          <w:lang w:eastAsia="zh-CN"/>
        </w:rPr>
        <w:t>附件要求的规格报出其投标价。投标报价应包括但不限于完成该项目所有的费用；报价表中的每一单项均应计算并填写单价和总价，并由法定代表人或授权委托代理人签署。投标人未填单价或总价的项目，在实施后，招标人将不予支付，并视为该项费用已包括在其它有价款的单价或总价内。</w:t>
      </w:r>
    </w:p>
    <w:p>
      <w:pPr>
        <w:spacing w:line="4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7.3 一项内容只允许一个报价，代理机构不接受任何有选择性的报价或附条件的报价。</w:t>
      </w:r>
    </w:p>
    <w:p>
      <w:pPr>
        <w:spacing w:line="4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7.4 投标文件报价中的单价和总价全部采用人民币表示，除非合同的特殊条款另有规定。</w:t>
      </w:r>
    </w:p>
    <w:p>
      <w:pPr>
        <w:spacing w:line="4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7.5 投标报价必须打印，各项目必须填写完整、准确，</w:t>
      </w:r>
      <w:r>
        <w:rPr>
          <w:rFonts w:hint="eastAsia" w:ascii="宋体" w:hAnsi="宋体" w:eastAsia="宋体" w:cs="宋体"/>
          <w:kern w:val="2"/>
          <w:sz w:val="21"/>
          <w:szCs w:val="21"/>
          <w:highlight w:val="none"/>
          <w:lang w:val="en-US" w:eastAsia="zh-CN"/>
        </w:rPr>
        <w:t>工期</w:t>
      </w:r>
      <w:r>
        <w:rPr>
          <w:rFonts w:hint="eastAsia" w:ascii="宋体" w:hAnsi="宋体" w:eastAsia="宋体" w:cs="宋体"/>
          <w:kern w:val="2"/>
          <w:sz w:val="21"/>
          <w:szCs w:val="21"/>
          <w:highlight w:val="none"/>
          <w:lang w:eastAsia="zh-CN"/>
        </w:rPr>
        <w:t>等内容需如实填报。报价单必须按要求加盖单位公章，法定代表人或委托授权人签字（盖章）。</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本工程采用</w:t>
      </w:r>
      <w:r>
        <w:rPr>
          <w:rFonts w:hint="eastAsia" w:ascii="宋体" w:hAnsi="宋体" w:eastAsia="宋体" w:cs="宋体"/>
          <w:b/>
          <w:sz w:val="21"/>
          <w:szCs w:val="21"/>
          <w:highlight w:val="none"/>
          <w:u w:val="single"/>
        </w:rPr>
        <w:t>固定综合单价</w:t>
      </w:r>
      <w:r>
        <w:rPr>
          <w:rFonts w:hint="eastAsia" w:ascii="宋体" w:hAnsi="宋体" w:eastAsia="宋体" w:cs="宋体"/>
          <w:b/>
          <w:sz w:val="21"/>
          <w:szCs w:val="21"/>
          <w:highlight w:val="none"/>
          <w:u w:val="single"/>
          <w:lang w:val="en-US" w:eastAsia="zh-CN"/>
        </w:rPr>
        <w:t>承包</w:t>
      </w:r>
      <w:r>
        <w:rPr>
          <w:rFonts w:hint="eastAsia" w:ascii="宋体" w:hAnsi="宋体" w:eastAsia="宋体" w:cs="宋体"/>
          <w:b/>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本工程的最高限价为</w:t>
      </w:r>
      <w:r>
        <w:rPr>
          <w:rFonts w:hint="eastAsia" w:ascii="宋体" w:hAnsi="宋体" w:eastAsia="宋体" w:cs="宋体"/>
          <w:b/>
          <w:bCs/>
          <w:sz w:val="21"/>
          <w:szCs w:val="21"/>
          <w:highlight w:val="none"/>
          <w:u w:val="single"/>
          <w:lang w:val="en-US" w:eastAsia="zh-CN"/>
        </w:rPr>
        <w:t xml:space="preserve"> </w:t>
      </w:r>
      <w:r>
        <w:rPr>
          <w:rFonts w:hint="eastAsia" w:ascii="宋体" w:hAnsi="宋体" w:cs="宋体"/>
          <w:b/>
          <w:bCs/>
          <w:sz w:val="21"/>
          <w:szCs w:val="21"/>
          <w:highlight w:val="none"/>
          <w:u w:val="single"/>
          <w:lang w:val="en-US" w:eastAsia="zh-CN"/>
        </w:rPr>
        <w:t>人民币贰拾柒万柒仟零肆拾贰元捌角（¥277042.80）</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cs="宋体"/>
          <w:b/>
          <w:sz w:val="21"/>
          <w:szCs w:val="21"/>
          <w:highlight w:val="none"/>
          <w:lang w:val="en-US" w:eastAsia="zh-CN"/>
        </w:rPr>
        <w:t>、</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 w:val="21"/>
          <w:szCs w:val="21"/>
          <w:highlight w:val="none"/>
        </w:rPr>
        <w:t>否则作为无效投标处理。</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w:t>
      </w:r>
      <w:r>
        <w:rPr>
          <w:rFonts w:hint="eastAsia" w:ascii="宋体" w:hAnsi="宋体" w:cs="宋体"/>
          <w:b/>
          <w:sz w:val="21"/>
          <w:szCs w:val="21"/>
          <w:highlight w:val="none"/>
          <w:lang w:val="en-US" w:eastAsia="zh-CN"/>
        </w:rPr>
        <w:t>谈判</w:t>
      </w:r>
      <w:r>
        <w:rPr>
          <w:rFonts w:hint="eastAsia" w:ascii="宋体" w:hAnsi="宋体" w:eastAsia="宋体" w:cs="宋体"/>
          <w:b/>
          <w:sz w:val="21"/>
          <w:szCs w:val="21"/>
          <w:highlight w:val="none"/>
        </w:rPr>
        <w:t>规则：至少二次报价，响应文件的</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作为首次报价，在资格性及符合性评审结束后，所有符合继续参加</w:t>
      </w:r>
      <w:r>
        <w:rPr>
          <w:rFonts w:hint="eastAsia" w:ascii="宋体" w:hAnsi="宋体" w:cs="宋体"/>
          <w:b/>
          <w:sz w:val="21"/>
          <w:szCs w:val="21"/>
          <w:highlight w:val="none"/>
          <w:lang w:eastAsia="zh-CN"/>
        </w:rPr>
        <w:t>谈判</w:t>
      </w:r>
      <w:r>
        <w:rPr>
          <w:rFonts w:hint="eastAsia" w:ascii="宋体" w:hAnsi="宋体" w:eastAsia="宋体" w:cs="宋体"/>
          <w:b/>
          <w:sz w:val="21"/>
          <w:szCs w:val="21"/>
          <w:highlight w:val="none"/>
        </w:rPr>
        <w:t>条件的供应商在规定时间内提交最终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作为评分依据。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szCs w:val="21"/>
          <w:highlight w:val="none"/>
        </w:rPr>
      </w:pPr>
      <w:r>
        <w:rPr>
          <w:rFonts w:hint="eastAsia" w:ascii="宋体" w:hAnsi="宋体" w:eastAsia="宋体" w:cs="宋体"/>
          <w:b/>
          <w:sz w:val="21"/>
          <w:szCs w:val="21"/>
          <w:highlight w:val="none"/>
        </w:rPr>
        <w:t>提交的最终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不得高于供应商的首次</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lang w:val="en-US" w:eastAsia="zh-CN"/>
        </w:rPr>
        <w:t>,否则做无效响应处理。</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8、响应文件的组成</w:t>
      </w:r>
    </w:p>
    <w:p>
      <w:pPr>
        <w:keepNext w:val="0"/>
        <w:keepLines w:val="0"/>
        <w:pageBreakBefore w:val="0"/>
        <w:wordWrap/>
        <w:topLinePunct w:val="0"/>
        <w:bidi w:val="0"/>
        <w:snapToGrid/>
        <w:spacing w:line="440" w:lineRule="exact"/>
        <w:ind w:firstLine="420" w:firstLineChars="200"/>
        <w:rPr>
          <w:rFonts w:ascii="宋体" w:hAnsi="宋体" w:cs="宋体"/>
          <w:bCs/>
          <w:szCs w:val="21"/>
          <w:highlight w:val="none"/>
        </w:rPr>
      </w:pPr>
      <w:r>
        <w:rPr>
          <w:rFonts w:hint="eastAsia" w:ascii="宋体" w:hAnsi="宋体" w:cs="宋体"/>
          <w:szCs w:val="21"/>
          <w:highlight w:val="none"/>
        </w:rPr>
        <w:t>详见第二章《响应文件的组成》</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9、谈判保证金</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cs="宋体"/>
          <w:szCs w:val="21"/>
          <w:highlight w:val="none"/>
        </w:rPr>
        <w:t xml:space="preserve"> </w:t>
      </w:r>
      <w:r>
        <w:rPr>
          <w:rFonts w:hint="eastAsia" w:ascii="宋体" w:hAnsi="宋体" w:eastAsia="宋体" w:cs="宋体"/>
          <w:color w:val="000000"/>
          <w:szCs w:val="21"/>
          <w:highlight w:val="none"/>
        </w:rPr>
        <w:t xml:space="preserve">9.1 </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的一个组成部分，</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须按规定从对公账户缴纳。未按要求缴纳保证金的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，将视为无效响应。</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9.2 未中标的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的保证金在本项目成交公示次日起</w:t>
      </w:r>
      <w:r>
        <w:rPr>
          <w:rFonts w:hint="eastAsia" w:ascii="宋体" w:hAnsi="宋体" w:eastAsia="宋体" w:cs="宋体"/>
          <w:b/>
          <w:bCs/>
          <w:color w:val="000000"/>
          <w:szCs w:val="21"/>
          <w:highlight w:val="none"/>
        </w:rPr>
        <w:t>五</w:t>
      </w:r>
      <w:r>
        <w:rPr>
          <w:rFonts w:hint="eastAsia" w:ascii="宋体" w:hAnsi="宋体" w:eastAsia="宋体" w:cs="宋体"/>
          <w:color w:val="000000"/>
          <w:szCs w:val="21"/>
          <w:highlight w:val="none"/>
        </w:rPr>
        <w:t>个工作日后无息退回。</w:t>
      </w:r>
    </w:p>
    <w:p>
      <w:pPr>
        <w:keepNext w:val="0"/>
        <w:keepLines w:val="0"/>
        <w:pageBreakBefore w:val="0"/>
        <w:widowControl w:val="0"/>
        <w:kinsoku/>
        <w:wordWrap/>
        <w:topLinePunct w:val="0"/>
        <w:bidi w:val="0"/>
        <w:snapToGri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9.3 </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的</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，在其缴纳履约保证金并签订合同，合同经代理机构</w:t>
      </w:r>
      <w:r>
        <w:rPr>
          <w:rFonts w:hint="eastAsia" w:ascii="宋体" w:hAnsi="宋体" w:eastAsia="宋体" w:cs="宋体"/>
          <w:color w:val="000000"/>
          <w:szCs w:val="21"/>
          <w:highlight w:val="none"/>
          <w:lang w:eastAsia="zh-CN"/>
        </w:rPr>
        <w:t>见证</w:t>
      </w:r>
      <w:r>
        <w:rPr>
          <w:rFonts w:hint="eastAsia" w:ascii="宋体" w:hAnsi="宋体" w:eastAsia="宋体" w:cs="宋体"/>
          <w:color w:val="000000"/>
          <w:szCs w:val="21"/>
          <w:highlight w:val="none"/>
        </w:rPr>
        <w:t>之日起五个工作日内无息退还。</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9.4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有下列情况之一的将被没收其</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9.4.1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在投标有效期内撤回或修改其</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9.4.2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的弄虚作假等不诚信、违法行为导致成交被依法依规确认无效的（包括成交公示期间）；</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9.4.3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成交后，无正当理由拒签合同协议书或未按</w:t>
      </w:r>
      <w:r>
        <w:rPr>
          <w:rFonts w:hint="eastAsia" w:ascii="宋体" w:hAnsi="宋体" w:cs="宋体"/>
          <w:color w:val="000000"/>
          <w:szCs w:val="21"/>
          <w:highlight w:val="none"/>
          <w:lang w:eastAsia="zh-CN"/>
        </w:rPr>
        <w:t>谈判文件</w:t>
      </w:r>
      <w:r>
        <w:rPr>
          <w:rFonts w:hint="eastAsia" w:ascii="宋体" w:hAnsi="宋体" w:eastAsia="宋体" w:cs="宋体"/>
          <w:color w:val="000000"/>
          <w:szCs w:val="21"/>
          <w:highlight w:val="none"/>
        </w:rPr>
        <w:t>规定提交履约担保；</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9.4.4已交纳保证金的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无正当理由且</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文件递交截止时间前1日未以书面形式</w:t>
      </w:r>
      <w:r>
        <w:rPr>
          <w:rFonts w:hint="eastAsia" w:ascii="宋体" w:hAnsi="宋体" w:eastAsia="宋体" w:cs="宋体"/>
          <w:color w:val="000000"/>
          <w:szCs w:val="21"/>
          <w:highlight w:val="none"/>
          <w:lang w:eastAsia="zh-CN"/>
        </w:rPr>
        <w:t>向</w:t>
      </w:r>
      <w:r>
        <w:rPr>
          <w:rFonts w:hint="eastAsia" w:ascii="宋体" w:hAnsi="宋体" w:eastAsia="宋体" w:cs="宋体"/>
          <w:color w:val="000000"/>
          <w:szCs w:val="21"/>
          <w:highlight w:val="none"/>
        </w:rPr>
        <w:t>代理机构递交说明，未准时参与投标的；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 法律法规认定的其他情形。</w:t>
      </w:r>
    </w:p>
    <w:p>
      <w:pPr>
        <w:keepNext w:val="0"/>
        <w:keepLines w:val="0"/>
        <w:pageBreakBefore w:val="0"/>
        <w:wordWrap/>
        <w:topLinePunct w:val="0"/>
        <w:bidi w:val="0"/>
        <w:snapToGrid/>
        <w:spacing w:line="440" w:lineRule="exact"/>
        <w:rPr>
          <w:rFonts w:hint="eastAsia" w:ascii="宋体" w:hAnsi="宋体" w:eastAsia="宋体" w:cs="宋体"/>
          <w:szCs w:val="21"/>
          <w:highlight w:val="none"/>
          <w:lang w:val="en-US" w:eastAsia="zh-CN"/>
        </w:rPr>
      </w:pPr>
      <w:r>
        <w:rPr>
          <w:rFonts w:hint="eastAsia" w:ascii="宋体" w:hAnsi="宋体" w:cs="宋体"/>
          <w:b/>
          <w:szCs w:val="21"/>
          <w:highlight w:val="none"/>
        </w:rPr>
        <w:t>10、响应文件的制作</w:t>
      </w:r>
      <w:r>
        <w:rPr>
          <w:rFonts w:hint="eastAsia" w:ascii="宋体" w:hAnsi="宋体" w:cs="宋体"/>
          <w:b/>
          <w:szCs w:val="21"/>
          <w:highlight w:val="none"/>
          <w:lang w:val="en-US" w:eastAsia="zh-CN"/>
        </w:rPr>
        <w:t>要求</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10.l供应商应提交</w:t>
      </w:r>
      <w:r>
        <w:rPr>
          <w:rFonts w:hint="eastAsia" w:ascii="宋体" w:hAnsi="宋体" w:cs="宋体"/>
          <w:b/>
          <w:bCs/>
          <w:szCs w:val="21"/>
          <w:highlight w:val="none"/>
          <w:lang w:val="en-US" w:eastAsia="zh-CN"/>
        </w:rPr>
        <w:t>装订</w:t>
      </w:r>
      <w:r>
        <w:rPr>
          <w:rFonts w:hint="eastAsia" w:ascii="宋体" w:hAnsi="宋体" w:cs="宋体"/>
          <w:szCs w:val="21"/>
          <w:highlight w:val="none"/>
        </w:rPr>
        <w:t>的响应文件</w:t>
      </w:r>
      <w:r>
        <w:rPr>
          <w:rFonts w:hint="eastAsia" w:ascii="宋体" w:hAnsi="宋体" w:eastAsia="宋体" w:cs="宋体"/>
          <w:b/>
          <w:bCs/>
          <w:szCs w:val="21"/>
          <w:highlight w:val="none"/>
        </w:rPr>
        <w:t>壹份“正本”</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贰份“副本”</w:t>
      </w:r>
      <w:r>
        <w:rPr>
          <w:rFonts w:hint="eastAsia" w:ascii="宋体" w:hAnsi="宋体" w:eastAsia="宋体" w:cs="宋体"/>
          <w:b/>
          <w:bCs/>
          <w:szCs w:val="21"/>
          <w:highlight w:val="none"/>
          <w:lang w:eastAsia="zh-CN"/>
        </w:rPr>
        <w:t>。</w:t>
      </w:r>
      <w:r>
        <w:rPr>
          <w:rFonts w:hint="eastAsia" w:ascii="宋体" w:hAnsi="宋体" w:cs="宋体"/>
          <w:szCs w:val="21"/>
          <w:highlight w:val="none"/>
        </w:rPr>
        <w:t>响应文件正本和副本如有不一致之处，以正本为准。</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rPr>
        <w:t xml:space="preserve">10.2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正本、副本必须全部是打印件。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应按照要求，在规定的地方加盖单位公章以及</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法定代表人（或其代理人）签字。</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10.3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应无涂改和行间插字，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造成的必须修改的错误，修改处须加盖供应商公章，并由供应商法定代表人或代理人签字或盖章，否则修改无效。</w:t>
      </w:r>
    </w:p>
    <w:p>
      <w:pPr>
        <w:keepNext w:val="0"/>
        <w:keepLines w:val="0"/>
        <w:pageBreakBefore w:val="0"/>
        <w:wordWrap/>
        <w:topLinePunct w:val="0"/>
        <w:bidi w:val="0"/>
        <w:snapToGrid/>
        <w:spacing w:line="440" w:lineRule="exact"/>
        <w:ind w:firstLine="422" w:firstLineChars="200"/>
        <w:rPr>
          <w:rFonts w:ascii="宋体" w:hAnsi="宋体" w:cs="宋体"/>
          <w:szCs w:val="21"/>
          <w:highlight w:val="none"/>
        </w:rPr>
      </w:pPr>
      <w:r>
        <w:rPr>
          <w:rFonts w:hint="eastAsia" w:ascii="宋体" w:hAnsi="宋体" w:eastAsia="宋体" w:cs="宋体"/>
          <w:b/>
          <w:bCs/>
          <w:szCs w:val="21"/>
          <w:highlight w:val="none"/>
        </w:rPr>
        <w:t>10.</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 本文件所表述的公章是指法定名称章，不包括合同专用章、业务专用章、部门专用章、财务专用章等印章。</w:t>
      </w:r>
      <w:r>
        <w:rPr>
          <w:rFonts w:hint="eastAsia" w:ascii="宋体" w:hAnsi="宋体" w:eastAsia="宋体" w:cs="宋体"/>
          <w:b/>
          <w:bCs/>
          <w:color w:val="auto"/>
          <w:szCs w:val="21"/>
          <w:highlight w:val="none"/>
          <w:lang w:val="en-US" w:eastAsia="zh-CN"/>
        </w:rPr>
        <w:t>盖章是指加盖鲜章。</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11、响应文件的有效期</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eastAsia="宋体" w:cs="宋体"/>
          <w:szCs w:val="21"/>
          <w:highlight w:val="none"/>
        </w:rPr>
        <w:t>投标有效期为规定的开标之日后</w:t>
      </w:r>
      <w:r>
        <w:rPr>
          <w:rFonts w:hint="eastAsia" w:ascii="宋体" w:hAnsi="宋体" w:eastAsia="宋体" w:cs="宋体"/>
          <w:b/>
          <w:bCs/>
          <w:szCs w:val="21"/>
          <w:highlight w:val="none"/>
          <w:u w:val="single"/>
        </w:rPr>
        <w:t>六十（60）天</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应保持有效。有效期短于这个规定期限的响应将被</w:t>
      </w:r>
      <w:r>
        <w:rPr>
          <w:rFonts w:hint="eastAsia" w:ascii="宋体" w:hAnsi="宋体" w:eastAsia="宋体" w:cs="宋体"/>
          <w:szCs w:val="21"/>
          <w:highlight w:val="none"/>
          <w:lang w:val="en-US" w:eastAsia="zh-CN"/>
        </w:rPr>
        <w:t>视为无效响应而</w:t>
      </w:r>
      <w:r>
        <w:rPr>
          <w:rFonts w:hint="eastAsia" w:ascii="宋体" w:hAnsi="宋体" w:eastAsia="宋体" w:cs="宋体"/>
          <w:szCs w:val="21"/>
          <w:highlight w:val="none"/>
        </w:rPr>
        <w:t>予以拒绝。</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12、响应文件的密封、装订与标志</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12.1供应商应将响应文件</w:t>
      </w:r>
      <w:r>
        <w:rPr>
          <w:rFonts w:hint="eastAsia" w:ascii="宋体" w:hAnsi="宋体" w:cs="宋体"/>
          <w:b/>
          <w:bCs/>
          <w:szCs w:val="21"/>
          <w:highlight w:val="none"/>
        </w:rPr>
        <w:t>正副本分开独立密封，</w:t>
      </w:r>
      <w:r>
        <w:rPr>
          <w:rFonts w:hint="eastAsia" w:ascii="宋体" w:hAnsi="宋体" w:cs="宋体"/>
          <w:szCs w:val="21"/>
          <w:highlight w:val="none"/>
        </w:rPr>
        <w:t>所有封袋上都应当加盖供应商公章。</w:t>
      </w:r>
    </w:p>
    <w:p>
      <w:pPr>
        <w:keepNext w:val="0"/>
        <w:keepLines w:val="0"/>
        <w:pageBreakBefore w:val="0"/>
        <w:wordWrap/>
        <w:topLinePunct w:val="0"/>
        <w:bidi w:val="0"/>
        <w:snapToGrid/>
        <w:spacing w:line="440" w:lineRule="exact"/>
        <w:ind w:firstLine="420" w:firstLineChars="200"/>
        <w:rPr>
          <w:rFonts w:ascii="宋体" w:hAnsi="宋体" w:cs="宋体"/>
          <w:b/>
          <w:bCs/>
          <w:szCs w:val="21"/>
          <w:highlight w:val="none"/>
        </w:rPr>
      </w:pPr>
      <w:r>
        <w:rPr>
          <w:rFonts w:hint="eastAsia" w:ascii="宋体" w:hAnsi="宋体" w:cs="宋体"/>
          <w:szCs w:val="21"/>
          <w:highlight w:val="none"/>
        </w:rPr>
        <w:t xml:space="preserve">12.2 </w:t>
      </w:r>
      <w:r>
        <w:rPr>
          <w:rFonts w:hint="eastAsia" w:ascii="宋体" w:hAnsi="宋体" w:cs="宋体"/>
          <w:b/>
          <w:bCs/>
          <w:szCs w:val="21"/>
          <w:highlight w:val="none"/>
        </w:rPr>
        <w:t>所有封袋上都必须正确写明：正副本情况、项目编号、项目名称、供应商名称、供应商法定代表人或其授权委托人名称字样。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12.3供应商未按上述规定提交响应文件，其响应文件将被拒绝。</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13、</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提交截止时间及地点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13.1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应在规定的截止日期和时间之前将</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提交至竞争性</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公告</w:t>
      </w:r>
      <w:r>
        <w:rPr>
          <w:rFonts w:hint="eastAsia" w:ascii="宋体" w:hAnsi="宋体" w:eastAsia="宋体" w:cs="宋体"/>
          <w:szCs w:val="21"/>
          <w:highlight w:val="none"/>
        </w:rPr>
        <w:t>中注明的地点，凡逾期送达的</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将</w:t>
      </w:r>
      <w:r>
        <w:rPr>
          <w:rFonts w:hint="eastAsia" w:ascii="宋体" w:hAnsi="宋体" w:eastAsia="宋体" w:cs="宋体"/>
          <w:szCs w:val="21"/>
          <w:highlight w:val="none"/>
          <w:lang w:eastAsia="zh-CN"/>
        </w:rPr>
        <w:t>作</w:t>
      </w:r>
      <w:r>
        <w:rPr>
          <w:rFonts w:hint="eastAsia" w:ascii="宋体" w:hAnsi="宋体" w:eastAsia="宋体" w:cs="宋体"/>
          <w:szCs w:val="21"/>
          <w:highlight w:val="none"/>
        </w:rPr>
        <w:t>为无效</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处理。</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ascii="宋体" w:hAnsi="宋体" w:cs="宋体"/>
          <w:highlight w:val="none"/>
        </w:rPr>
      </w:pPr>
      <w:r>
        <w:rPr>
          <w:rFonts w:hint="eastAsia" w:ascii="宋体" w:hAnsi="宋体" w:eastAsia="宋体" w:cs="宋体"/>
          <w:b/>
          <w:bCs/>
          <w:i w:val="0"/>
          <w:iCs w:val="0"/>
          <w:szCs w:val="21"/>
          <w:highlight w:val="none"/>
        </w:rPr>
        <w:t xml:space="preserve">13.2 </w:t>
      </w:r>
      <w:r>
        <w:rPr>
          <w:rFonts w:hint="eastAsia" w:ascii="宋体" w:hAnsi="宋体" w:eastAsia="宋体" w:cs="宋体"/>
          <w:b/>
          <w:bCs/>
          <w:i w:val="0"/>
          <w:iCs w:val="0"/>
          <w:szCs w:val="21"/>
          <w:highlight w:val="none"/>
          <w:lang w:eastAsia="zh-CN"/>
        </w:rPr>
        <w:t>供应商</w:t>
      </w:r>
      <w:r>
        <w:rPr>
          <w:rFonts w:hint="eastAsia" w:ascii="宋体" w:hAnsi="宋体" w:eastAsia="宋体" w:cs="宋体"/>
          <w:b/>
          <w:bCs/>
          <w:i w:val="0"/>
          <w:iCs w:val="0"/>
          <w:szCs w:val="21"/>
          <w:highlight w:val="none"/>
        </w:rPr>
        <w:t>在递交</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时须提供有效的法定代表人或代理人身份证原件</w:t>
      </w:r>
      <w:r>
        <w:rPr>
          <w:rFonts w:hint="eastAsia" w:ascii="宋体" w:hAnsi="宋体" w:eastAsia="宋体" w:cs="宋体"/>
          <w:b/>
          <w:bCs/>
          <w:szCs w:val="21"/>
          <w:highlight w:val="none"/>
          <w:lang w:eastAsia="zh-CN"/>
        </w:rPr>
        <w:t>，</w:t>
      </w:r>
      <w:r>
        <w:rPr>
          <w:rFonts w:hint="eastAsia" w:ascii="宋体" w:hAnsi="宋体" w:eastAsia="宋体" w:cs="宋体"/>
          <w:b/>
          <w:bCs/>
          <w:i w:val="0"/>
          <w:iCs w:val="0"/>
          <w:szCs w:val="21"/>
          <w:highlight w:val="none"/>
        </w:rPr>
        <w:t>未提供的，代理机构不接收其</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14、响应文件的修改和撤回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在递交</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后，可以修改或撤回其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，但这种修改和撤回，必须在规定的投标截止时间前，以书面形式通知代理机构，修改或撤回其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14.2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的修改或撤回文件应按规定进行编制、密封、标记和发送，并应在封套上加注“修改”或“撤回”字样。上述补充或修改若涉及</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报价</w:t>
      </w:r>
      <w:r>
        <w:rPr>
          <w:rFonts w:hint="eastAsia" w:ascii="宋体" w:hAnsi="宋体" w:eastAsia="宋体" w:cs="宋体"/>
          <w:szCs w:val="21"/>
          <w:highlight w:val="none"/>
        </w:rPr>
        <w:t>，必须注明“最后唯一报价”字样，否则将视为有选择的报价。修改文件必须在投标截止时间前送达代理机构。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14.3 在投标截止时间之后，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不得对其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作任何修改。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14.4 在投标截止时间至</w:t>
      </w:r>
      <w:r>
        <w:rPr>
          <w:rFonts w:hint="eastAsia" w:ascii="宋体" w:hAnsi="宋体" w:cs="宋体"/>
          <w:szCs w:val="21"/>
          <w:highlight w:val="none"/>
          <w:lang w:eastAsia="zh-CN"/>
        </w:rPr>
        <w:t>谈判文件</w:t>
      </w:r>
      <w:r>
        <w:rPr>
          <w:rFonts w:hint="eastAsia" w:ascii="宋体" w:hAnsi="宋体" w:eastAsia="宋体" w:cs="宋体"/>
          <w:szCs w:val="21"/>
          <w:highlight w:val="none"/>
        </w:rPr>
        <w:t>中规定的投标有效期满之间的这段时间内，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w:t>
      </w:r>
      <w:r>
        <w:rPr>
          <w:rFonts w:hint="eastAsia" w:ascii="宋体" w:hAnsi="宋体" w:eastAsia="宋体" w:cs="宋体"/>
          <w:szCs w:val="21"/>
          <w:highlight w:val="none"/>
          <w:lang w:eastAsia="zh-CN"/>
        </w:rPr>
        <w:t>撤销</w:t>
      </w:r>
      <w:r>
        <w:rPr>
          <w:rFonts w:hint="eastAsia" w:ascii="宋体" w:hAnsi="宋体" w:eastAsia="宋体" w:cs="宋体"/>
          <w:szCs w:val="21"/>
          <w:highlight w:val="none"/>
        </w:rPr>
        <w:t>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，否则其</w:t>
      </w:r>
      <w:r>
        <w:rPr>
          <w:rFonts w:hint="eastAsia" w:ascii="宋体" w:hAnsi="宋体" w:cs="宋体"/>
          <w:szCs w:val="21"/>
          <w:highlight w:val="none"/>
          <w:lang w:eastAsia="zh-CN"/>
        </w:rPr>
        <w:t>谈判</w:t>
      </w:r>
      <w:r>
        <w:rPr>
          <w:rFonts w:hint="eastAsia" w:ascii="宋体" w:hAnsi="宋体" w:eastAsia="宋体" w:cs="宋体"/>
          <w:szCs w:val="21"/>
          <w:highlight w:val="none"/>
        </w:rPr>
        <w:t>保证金将不予退还。</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15、谈判程序</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15.1代理机构按竞争性谈判公告规定的时间、地点主持谈判活动。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15.2供应商参加谈判会的应由法定代表人或委托代理人携带</w:t>
      </w:r>
      <w:r>
        <w:rPr>
          <w:rFonts w:hint="eastAsia" w:ascii="宋体" w:hAnsi="宋体" w:cs="宋体"/>
          <w:b/>
          <w:bCs/>
          <w:szCs w:val="21"/>
          <w:highlight w:val="none"/>
        </w:rPr>
        <w:t>本人有效的身份证原件</w:t>
      </w:r>
      <w:r>
        <w:rPr>
          <w:rFonts w:hint="eastAsia" w:ascii="宋体" w:hAnsi="宋体" w:cs="宋体"/>
          <w:szCs w:val="21"/>
          <w:highlight w:val="none"/>
        </w:rPr>
        <w:t>准时参加，并签名报到以证明其出席。</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15.3</w:t>
      </w:r>
      <w:r>
        <w:rPr>
          <w:rFonts w:hint="eastAsia" w:ascii="宋体" w:hAnsi="宋体" w:cs="宋体"/>
          <w:b/>
          <w:bCs/>
          <w:szCs w:val="21"/>
          <w:highlight w:val="none"/>
        </w:rPr>
        <w:t>谈判时，由供应商或者其推选的代表查验响应文件的密封情况。</w:t>
      </w:r>
    </w:p>
    <w:p>
      <w:pPr>
        <w:pStyle w:val="2"/>
        <w:keepNext w:val="0"/>
        <w:keepLines w:val="0"/>
        <w:pageBreakBefore w:val="0"/>
        <w:wordWrap/>
        <w:topLinePunct w:val="0"/>
        <w:bidi w:val="0"/>
        <w:snapToGrid/>
        <w:spacing w:line="440" w:lineRule="exact"/>
        <w:rPr>
          <w:rFonts w:ascii="宋体" w:hAnsi="宋体" w:cs="宋体"/>
          <w:highlight w:val="none"/>
        </w:rPr>
      </w:pPr>
      <w:r>
        <w:rPr>
          <w:rFonts w:hint="eastAsia" w:ascii="宋体" w:hAnsi="宋体" w:cs="宋体"/>
          <w:szCs w:val="21"/>
          <w:highlight w:val="none"/>
        </w:rPr>
        <w:t>15.4唱标：本项目无唱标环节。</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16、谈判小组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16.1 谈判开始后，代理机构将组织谈判小组进行评标。谈判小组由</w:t>
      </w:r>
      <w:r>
        <w:rPr>
          <w:rFonts w:hint="eastAsia" w:ascii="宋体" w:hAnsi="宋体" w:cs="宋体"/>
          <w:szCs w:val="21"/>
          <w:highlight w:val="none"/>
          <w:lang w:eastAsia="zh-CN"/>
        </w:rPr>
        <w:t>采购人</w:t>
      </w:r>
      <w:r>
        <w:rPr>
          <w:rFonts w:hint="eastAsia" w:ascii="宋体" w:hAnsi="宋体" w:cs="宋体"/>
          <w:szCs w:val="21"/>
          <w:highlight w:val="none"/>
        </w:rPr>
        <w:t>代表和评审专家组成，且人员构成符合相关规定。谈判小组成员按照客观、公正、审慎的原则，根据谈判文件规定的评审程序、评审方法和评审标准进行独立评审。</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16.2 谈判小组负责具体的评标事务，并独立履行以下职责：</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16.2.1 审查、评价响应文件是否符合谈判文件的商务、技术等实质性要求；</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16.2.2 要求供应商对响应文件有关事项作出澄清或者说明；</w:t>
      </w:r>
    </w:p>
    <w:p>
      <w:pPr>
        <w:keepNext w:val="0"/>
        <w:keepLines w:val="0"/>
        <w:pageBreakBefore w:val="0"/>
        <w:wordWrap/>
        <w:topLinePunct w:val="0"/>
        <w:bidi w:val="0"/>
        <w:snapToGrid/>
        <w:spacing w:line="440" w:lineRule="exact"/>
        <w:ind w:firstLine="420" w:firstLineChars="200"/>
        <w:rPr>
          <w:rFonts w:ascii="宋体" w:hAnsi="宋体" w:cs="宋体"/>
          <w:highlight w:val="none"/>
        </w:rPr>
      </w:pPr>
      <w:r>
        <w:rPr>
          <w:rFonts w:hint="eastAsia" w:ascii="宋体" w:hAnsi="宋体" w:cs="宋体"/>
          <w:szCs w:val="21"/>
          <w:highlight w:val="none"/>
        </w:rPr>
        <w:t>16.2.3对响应文件进行比较和评价；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16.2.4推荐中标候选人名单，或受代理机构委托按照事先确定的办法直接确定成交供应商；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16.2.5 向</w:t>
      </w:r>
      <w:r>
        <w:rPr>
          <w:rFonts w:hint="eastAsia" w:ascii="宋体" w:hAnsi="宋体" w:cs="宋体"/>
          <w:szCs w:val="21"/>
          <w:highlight w:val="none"/>
          <w:lang w:eastAsia="zh-CN"/>
        </w:rPr>
        <w:t>采购人</w:t>
      </w:r>
      <w:r>
        <w:rPr>
          <w:rFonts w:hint="eastAsia" w:ascii="宋体" w:hAnsi="宋体" w:cs="宋体"/>
          <w:szCs w:val="21"/>
          <w:highlight w:val="none"/>
        </w:rPr>
        <w:t>、代理机构或者有关部门报告评标中发现的违法行为。</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 谈判小组成员应当履行下列义务：</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16.3.1 遵纪守法，客观、公正、廉洁地履行职责；</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16.3.2 按照谈判文件规定的评审办法和评分标准进行评审，对评审意见承担个人责任；</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16.3.3 对评标过程和结果，以及供应商的商业秘密保密；</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16.3.4 负责评标报告的起草；</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16.3.5 配合相关部门的投诉处理工作；</w:t>
      </w:r>
    </w:p>
    <w:p>
      <w:pPr>
        <w:pStyle w:val="6"/>
        <w:keepNext w:val="0"/>
        <w:keepLines w:val="0"/>
        <w:pageBreakBefore w:val="0"/>
        <w:wordWrap/>
        <w:overflowPunct w:val="0"/>
        <w:topLinePunct w:val="0"/>
        <w:bidi w:val="0"/>
        <w:snapToGrid/>
        <w:spacing w:line="440" w:lineRule="exact"/>
        <w:rPr>
          <w:rFonts w:hAnsi="宋体" w:cs="宋体"/>
          <w:szCs w:val="21"/>
          <w:highlight w:val="none"/>
        </w:rPr>
      </w:pPr>
      <w:r>
        <w:rPr>
          <w:rFonts w:hint="eastAsia" w:hAnsi="宋体" w:cs="宋体"/>
          <w:sz w:val="21"/>
          <w:szCs w:val="21"/>
          <w:highlight w:val="none"/>
        </w:rPr>
        <w:t>16.3.6 配合代理机构答复供应商对中标结果提出的质疑。</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17. 评审内容的保密</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17.2 在评审过程中，供应商不得以任何行为影响评标过程，否则其响应文件将被作为无效响应文件。</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17.3在评审期间，代理机构将设专门人员与供应商联系。</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17.4代理机构和谈判小组不向落标的供应商解释未中标原因，也不公布评审过程中的相关细节。</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18、对响应文件的审查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响应文件初审分为资格性审查和符合性审查。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18.1资格性审查：依据法律法规和谈判文件的规定，对响应文件中的资格证明文件进行审查。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18.2符合性审查：依据谈判文件的规定，由谈判小组从响应文件的有效性、完整性和对谈判文件的响应程度进行审查，以确定是否对谈判文件的实质性要求作出响应。</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所谓重大偏离或保留是指影响到谈判文件中规定的实质性要求存在负偏离，或者在实质上与谈判文件不一致，而且限制了合同中</w:t>
      </w:r>
      <w:r>
        <w:rPr>
          <w:rFonts w:hint="eastAsia" w:hAnsi="宋体" w:cs="宋体"/>
          <w:sz w:val="21"/>
          <w:szCs w:val="21"/>
          <w:highlight w:val="none"/>
          <w:lang w:eastAsia="zh-CN"/>
        </w:rPr>
        <w:t>采购人</w:t>
      </w:r>
      <w:r>
        <w:rPr>
          <w:rFonts w:hint="eastAsia" w:hAnsi="宋体" w:cs="宋体"/>
          <w:sz w:val="21"/>
          <w:szCs w:val="21"/>
          <w:highlight w:val="none"/>
        </w:rPr>
        <w:t>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18.4</w:t>
      </w:r>
      <w:r>
        <w:rPr>
          <w:rFonts w:hint="eastAsia" w:ascii="宋体" w:hAnsi="宋体" w:cs="宋体"/>
          <w:b/>
          <w:szCs w:val="21"/>
          <w:highlight w:val="none"/>
        </w:rPr>
        <w:t>响应文件有下列情况之一者，</w:t>
      </w:r>
      <w:r>
        <w:rPr>
          <w:rFonts w:hint="eastAsia" w:ascii="宋体" w:hAnsi="宋体" w:cs="宋体"/>
          <w:b/>
          <w:bCs/>
          <w:szCs w:val="21"/>
          <w:highlight w:val="none"/>
        </w:rPr>
        <w:t>将作为无效响应文件处理：</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18.4.1响应文件未按规定胶装、密封、签字、盖章的，未按要求提供“U盘”或未单独密封的；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18.4.2响应文件未加盖供应商公章的；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18.4.3法定代表人资格证明书或授权委托书未提供的、无供应商公章的、无法定代表人或委托代理人签字或盖章的、非原件的；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18.4.4供应商未通过报名的或者在名称上和法人地位上与报名情况发生实质性改变的；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18.4.5供应商不符合谈判文件中规定资格要求的，或者资格要求证明材料提供不齐全的；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18.4.6响应文件未按谈判文件规定的格式、内容和要求编制，响应文件字迹潦草、模糊、难以辨认；</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18.4.7供应商在一份响应文件中，对同一投标项目报有两个或多个报价，且未书面确定以哪个报价为准的；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18.4.8供应商在谈判报价中存在严重错误，并影响对其他供应商的评分的；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18.4.9响应文件材料所述情况和所附相关资料不实的；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18.4.10供应商以他人的名义投标、串通投标、以行贿手段谋取中标或者以其他弄虚作假方式投标的。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18.4.11逾期送达的响应文件；</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18.4.12未按谈判文件要求缴纳谈判保证金的；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18.4.13供应商的谈判报价超出采购预算或者最高限价的；</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18.4.15谈判文件明确规定无效的其他情形，或者其他被评委会认定无效的情况；</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18.4.16响应文件含有</w:t>
      </w:r>
      <w:r>
        <w:rPr>
          <w:rFonts w:hint="eastAsia" w:ascii="宋体" w:hAnsi="宋体" w:cs="宋体"/>
          <w:szCs w:val="21"/>
          <w:highlight w:val="none"/>
          <w:lang w:eastAsia="zh-CN"/>
        </w:rPr>
        <w:t>采购人</w:t>
      </w:r>
      <w:r>
        <w:rPr>
          <w:rFonts w:hint="eastAsia" w:ascii="宋体" w:hAnsi="宋体" w:cs="宋体"/>
          <w:szCs w:val="21"/>
          <w:highlight w:val="none"/>
        </w:rPr>
        <w:t>不能接受的附加条件的；</w:t>
      </w:r>
    </w:p>
    <w:p>
      <w:pPr>
        <w:keepNext w:val="0"/>
        <w:keepLines w:val="0"/>
        <w:pageBreakBefore w:val="0"/>
        <w:wordWrap/>
        <w:topLinePunct w:val="0"/>
        <w:bidi w:val="0"/>
        <w:snapToGrid/>
        <w:spacing w:line="440" w:lineRule="exact"/>
        <w:ind w:firstLine="439" w:firstLineChars="208"/>
        <w:jc w:val="left"/>
        <w:rPr>
          <w:rFonts w:ascii="宋体" w:hAnsi="宋体" w:cs="宋体"/>
          <w:b/>
          <w:szCs w:val="21"/>
          <w:highlight w:val="none"/>
        </w:rPr>
      </w:pPr>
      <w:r>
        <w:rPr>
          <w:rFonts w:hint="eastAsia" w:ascii="宋体" w:hAnsi="宋体" w:cs="宋体"/>
          <w:b/>
          <w:szCs w:val="21"/>
          <w:highlight w:val="none"/>
        </w:rPr>
        <w:t>18.4.17供应商、</w:t>
      </w:r>
      <w:r>
        <w:rPr>
          <w:rFonts w:hint="eastAsia" w:ascii="宋体" w:hAnsi="宋体" w:cs="宋体"/>
          <w:b/>
          <w:szCs w:val="21"/>
          <w:highlight w:val="none"/>
          <w:lang w:eastAsia="zh-CN"/>
        </w:rPr>
        <w:t>项目经理</w:t>
      </w:r>
      <w:r>
        <w:rPr>
          <w:rFonts w:hint="eastAsia" w:ascii="宋体" w:hAnsi="宋体" w:cs="宋体"/>
          <w:b/>
          <w:szCs w:val="21"/>
          <w:highlight w:val="none"/>
        </w:rPr>
        <w:t>及其联合体中任何一个成员被列入失信被执行人、重大税收违法案件当事人名单、政府采购严重失信行为记录名单的。[查询渠道：“信用中国”网站（www.creditchina.gov.cn）、中国政府采购网(www.ccgp.gov.cn)网站的相关主体信用记录]；</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18.4.18未按要求提供带“*”项材料的；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18.4.19不符合法律、法规和谈判文件规定的其他实质性要求的。</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18.5有下列情形之一的，视为供应商串通投标，投标无效：</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18.5.1不同供应商的响应文件由同一单位或者个人编制；</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18.5.2不同供应商委托同一单位或者个人办理投标事宜；</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18.5.3 不同供应商的响应文件载明的项目管理成员或者联系人员为同一人；</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18.5.4不同供应商的响应文件异常一致或者谈判报价呈规律性差异；</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18.5.5不同供应商的响应文件相互混装；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18.5.6不同供应商的谈判保证金从同一单位或者个人的账户转出。</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18.6 投标截止时间结束后参加投标的供应商不足三家的处理：如出现投标截止时间结束后参加投标的供应商或者在评审期间对谈判文件做出实质响应的供应商不足三家情况，按相关规定执行。</w:t>
      </w:r>
    </w:p>
    <w:p>
      <w:pPr>
        <w:keepNext w:val="0"/>
        <w:keepLines w:val="0"/>
        <w:pageBreakBefore w:val="0"/>
        <w:wordWrap/>
        <w:topLinePunct w:val="0"/>
        <w:bidi w:val="0"/>
        <w:snapToGrid/>
        <w:spacing w:line="440" w:lineRule="exact"/>
        <w:rPr>
          <w:rFonts w:ascii="宋体" w:hAnsi="宋体" w:cs="宋体"/>
          <w:b/>
          <w:kern w:val="0"/>
          <w:szCs w:val="21"/>
          <w:highlight w:val="none"/>
        </w:rPr>
      </w:pPr>
      <w:r>
        <w:rPr>
          <w:rFonts w:hint="eastAsia" w:ascii="宋体" w:hAnsi="宋体" w:cs="宋体"/>
          <w:b/>
          <w:kern w:val="0"/>
          <w:szCs w:val="21"/>
          <w:highlight w:val="none"/>
        </w:rPr>
        <w:t>19、谈判响应文件的澄清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19.1 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19.2 谈判小组可要求供应商就澄清的问题作出答复，该答复经供应商代表的签字认可，将作为响应文件内容的一部分。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19.3 供应商在进行澄清、说明、答辩或补正时，不得改变投标的价格（校核时发现的算术错误除外）、超出谈判文件的范围及改变响应文件的实质性内容。</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19.4响应文件报价出现前后不一致的，除谈判文件另有规定外，按照下列规定修正：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19.4.1响应文件中开标一览表（报价一览表）内容与响应文件中相应内容不一致的，以开标一览表（报价一览表）为准；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19.4.2 响应文件的大写金额与小写金额不一致的，以大写金额为准；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19.4.3单价金额小数点或者百分比有明显错位的，以开标一览表（报价一览表）的总价为准，并修改单价；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19.4.4总价金额与按单价汇总金额不一致的，以单价金额计算结果为准。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cs="宋体"/>
          <w:b/>
          <w:szCs w:val="21"/>
          <w:highlight w:val="none"/>
        </w:rPr>
        <w:t>存在缺项漏项或者数量不符合谈判文件要求的作为无效响应文件处理</w:t>
      </w:r>
      <w:r>
        <w:rPr>
          <w:rFonts w:hint="eastAsia" w:ascii="宋体" w:hAnsi="宋体" w:cs="宋体"/>
          <w:szCs w:val="21"/>
          <w:highlight w:val="none"/>
        </w:rPr>
        <w:t>；对不同文字文本响应文件的解释发生异议的，以中文文本为准。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19.5供应商拒不按照谈判小组要求作出澄清、说明或者补正的，作为无效投标处理。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19.6 谈判小组对响应文件的判定，只依据投标内容本身，不依靠谈判后的任何外来证明。</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20．出现下列情形之一的，终止竞争性谈判采购活动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20.1 因情况变化，不再符合规定的竞争性谈判采购方式适用情形的； </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20.2 出现影响采购公正的违法、违规行为的；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20.3 供应商的最终报价均超过了项目预算，</w:t>
      </w:r>
      <w:r>
        <w:rPr>
          <w:rFonts w:hint="eastAsia" w:ascii="宋体" w:hAnsi="宋体" w:cs="宋体"/>
          <w:szCs w:val="21"/>
          <w:highlight w:val="none"/>
          <w:lang w:eastAsia="zh-CN"/>
        </w:rPr>
        <w:t>采购人</w:t>
      </w:r>
      <w:r>
        <w:rPr>
          <w:rFonts w:hint="eastAsia" w:ascii="宋体" w:hAnsi="宋体" w:cs="宋体"/>
          <w:szCs w:val="21"/>
          <w:highlight w:val="none"/>
        </w:rPr>
        <w:t>不能支付的；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20.4 因重大变故，采购任务取消的。</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21、评审、定标方法</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w:t>
      </w:r>
      <w:r>
        <w:rPr>
          <w:rFonts w:hint="eastAsia" w:ascii="宋体" w:hAnsi="宋体" w:cs="宋体"/>
          <w:szCs w:val="21"/>
          <w:highlight w:val="none"/>
          <w:lang w:eastAsia="zh-CN"/>
        </w:rPr>
        <w:t>采购人</w:t>
      </w:r>
      <w:r>
        <w:rPr>
          <w:rFonts w:hint="eastAsia" w:ascii="宋体" w:hAnsi="宋体" w:cs="宋体"/>
          <w:szCs w:val="21"/>
          <w:highlight w:val="none"/>
        </w:rPr>
        <w:t>或者</w:t>
      </w:r>
      <w:r>
        <w:rPr>
          <w:rFonts w:hint="eastAsia" w:ascii="宋体" w:hAnsi="宋体" w:cs="宋体"/>
          <w:szCs w:val="21"/>
          <w:highlight w:val="none"/>
          <w:lang w:eastAsia="zh-CN"/>
        </w:rPr>
        <w:t>采购人</w:t>
      </w:r>
      <w:r>
        <w:rPr>
          <w:rFonts w:hint="eastAsia" w:ascii="宋体" w:hAnsi="宋体" w:cs="宋体"/>
          <w:szCs w:val="21"/>
          <w:highlight w:val="none"/>
        </w:rPr>
        <w:t>委托谈判小组按照谈判文件规定的方式确定一个参加评标的供应商。</w:t>
      </w:r>
    </w:p>
    <w:p>
      <w:pPr>
        <w:keepNext w:val="0"/>
        <w:keepLines w:val="0"/>
        <w:pageBreakBefore w:val="0"/>
        <w:wordWrap/>
        <w:topLinePunct w:val="0"/>
        <w:bidi w:val="0"/>
        <w:snapToGrid/>
        <w:spacing w:line="440" w:lineRule="exact"/>
        <w:ind w:firstLine="502"/>
        <w:rPr>
          <w:rFonts w:ascii="宋体" w:hAnsi="宋体" w:cs="宋体"/>
          <w:b/>
          <w:szCs w:val="21"/>
          <w:highlight w:val="none"/>
        </w:rPr>
      </w:pPr>
      <w:r>
        <w:rPr>
          <w:rFonts w:hint="eastAsia" w:ascii="宋体" w:hAnsi="宋体" w:cs="宋体"/>
          <w:b/>
          <w:szCs w:val="21"/>
          <w:highlight w:val="none"/>
        </w:rPr>
        <w:t>21.2</w:t>
      </w:r>
      <w:r>
        <w:rPr>
          <w:rFonts w:hint="eastAsia" w:ascii="宋体" w:hAnsi="宋体" w:cs="宋体"/>
          <w:b/>
          <w:szCs w:val="21"/>
          <w:highlight w:val="none"/>
          <w:lang w:eastAsia="zh-CN"/>
        </w:rPr>
        <w:t>采购人</w:t>
      </w:r>
      <w:r>
        <w:rPr>
          <w:rFonts w:hint="eastAsia" w:ascii="宋体" w:hAnsi="宋体" w:cs="宋体"/>
          <w:b/>
          <w:szCs w:val="21"/>
          <w:highlight w:val="none"/>
        </w:rPr>
        <w:t>授权谈判小组直接确定成交供应商。</w:t>
      </w:r>
    </w:p>
    <w:p>
      <w:pPr>
        <w:pStyle w:val="6"/>
        <w:keepNext w:val="0"/>
        <w:keepLines w:val="0"/>
        <w:pageBreakBefore w:val="0"/>
        <w:wordWrap/>
        <w:overflowPunct w:val="0"/>
        <w:topLinePunct w:val="0"/>
        <w:bidi w:val="0"/>
        <w:snapToGrid/>
        <w:spacing w:line="440" w:lineRule="exact"/>
        <w:ind w:firstLine="0"/>
        <w:rPr>
          <w:rFonts w:hAnsi="宋体" w:cs="宋体"/>
          <w:b/>
          <w:sz w:val="21"/>
          <w:szCs w:val="21"/>
          <w:highlight w:val="none"/>
        </w:rPr>
      </w:pPr>
      <w:r>
        <w:rPr>
          <w:rFonts w:hint="eastAsia" w:hAnsi="宋体" w:cs="宋体"/>
          <w:b/>
          <w:sz w:val="21"/>
          <w:szCs w:val="21"/>
          <w:highlight w:val="none"/>
        </w:rPr>
        <w:t>22.成交结果及公示</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22.1 代理机构将成交结果在</w:t>
      </w:r>
      <w:r>
        <w:rPr>
          <w:rFonts w:hint="eastAsia" w:hAnsi="宋体" w:cs="宋体"/>
          <w:b/>
          <w:bCs/>
          <w:sz w:val="21"/>
          <w:szCs w:val="21"/>
          <w:highlight w:val="none"/>
        </w:rPr>
        <w:t>“常州青枫招标有限公司”</w:t>
      </w:r>
      <w:r>
        <w:rPr>
          <w:rFonts w:hint="eastAsia" w:hAnsi="宋体" w:cs="宋体"/>
          <w:sz w:val="21"/>
          <w:szCs w:val="21"/>
          <w:highlight w:val="none"/>
        </w:rPr>
        <w:t>网站上予以公告。公告期限为1个工作日。</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22.2 若有充分证据证明，成交供应商出现下列情况之一的，一经查实，将被取消中标资格；</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22.2.1 提供虚假材料谋取中标的；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22.2.2 向</w:t>
      </w:r>
      <w:r>
        <w:rPr>
          <w:rFonts w:hint="eastAsia" w:hAnsi="宋体" w:cs="宋体"/>
          <w:sz w:val="21"/>
          <w:szCs w:val="21"/>
          <w:highlight w:val="none"/>
          <w:lang w:eastAsia="zh-CN"/>
        </w:rPr>
        <w:t>采购人</w:t>
      </w:r>
      <w:r>
        <w:rPr>
          <w:rFonts w:hint="eastAsia" w:hAnsi="宋体" w:cs="宋体"/>
          <w:sz w:val="21"/>
          <w:szCs w:val="21"/>
          <w:highlight w:val="none"/>
        </w:rPr>
        <w:t>、代理机构行贿或者提供其他不正当利益的；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22.2.3 恶意竞争，投标总报价明显低于其自身合理成本且又无法提供证明的；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22.2.4 属于本文件规定的无效条件，但在评审过程中又未被评委会发现的；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22.2.5 与</w:t>
      </w:r>
      <w:r>
        <w:rPr>
          <w:rFonts w:hint="eastAsia" w:hAnsi="宋体" w:cs="宋体"/>
          <w:sz w:val="21"/>
          <w:szCs w:val="21"/>
          <w:highlight w:val="none"/>
          <w:lang w:eastAsia="zh-CN"/>
        </w:rPr>
        <w:t>采购人</w:t>
      </w:r>
      <w:r>
        <w:rPr>
          <w:rFonts w:hint="eastAsia" w:hAnsi="宋体" w:cs="宋体"/>
          <w:sz w:val="21"/>
          <w:szCs w:val="21"/>
          <w:highlight w:val="none"/>
        </w:rPr>
        <w:t>或者其他供应商恶意串通的；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22.2.6 采取不正当手段诋毁、排挤其他供应商的；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22.2.7 不符合法律、法规的规定的。</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22.3 供应商认为谈判文件、采购过程和采购结果使自己的权益受到损害的，可以在知道或应知其权益受到损害之日起七个工作日内，以书面形式向代理机构或</w:t>
      </w:r>
      <w:r>
        <w:rPr>
          <w:rFonts w:hint="eastAsia" w:hAnsi="宋体" w:cs="宋体"/>
          <w:sz w:val="21"/>
          <w:szCs w:val="21"/>
          <w:highlight w:val="none"/>
          <w:lang w:eastAsia="zh-CN"/>
        </w:rPr>
        <w:t>采购人</w:t>
      </w:r>
      <w:r>
        <w:rPr>
          <w:rFonts w:hint="eastAsia" w:hAnsi="宋体" w:cs="宋体"/>
          <w:sz w:val="21"/>
          <w:szCs w:val="21"/>
          <w:highlight w:val="none"/>
        </w:rPr>
        <w:t>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未参加投标活动的供应商或在投标活动中自身权益未受到损害的供应商所提出的质疑不予受理。</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成交公示期间，如有参加投标的供应商提出有效质疑，并因此可能对成交结果产生影响，而最终被取消成交的，代理机构对成交供应商不承担任何责任。</w:t>
      </w:r>
    </w:p>
    <w:p>
      <w:pPr>
        <w:pStyle w:val="6"/>
        <w:keepNext w:val="0"/>
        <w:keepLines w:val="0"/>
        <w:pageBreakBefore w:val="0"/>
        <w:wordWrap/>
        <w:overflowPunct w:val="0"/>
        <w:topLinePunct w:val="0"/>
        <w:bidi w:val="0"/>
        <w:snapToGrid/>
        <w:spacing w:line="440" w:lineRule="exact"/>
        <w:ind w:firstLine="0"/>
        <w:rPr>
          <w:rFonts w:hAnsi="宋体" w:cs="宋体"/>
          <w:b/>
          <w:sz w:val="21"/>
          <w:szCs w:val="21"/>
          <w:highlight w:val="none"/>
        </w:rPr>
      </w:pPr>
      <w:r>
        <w:rPr>
          <w:rFonts w:hint="eastAsia" w:hAnsi="宋体" w:cs="宋体"/>
          <w:b/>
          <w:sz w:val="21"/>
          <w:szCs w:val="21"/>
          <w:highlight w:val="none"/>
        </w:rPr>
        <w:t>23、成交通知书</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23.1 成交结果公告发布确定后，代理机构将向成交供应商发出中标（成交）通知书；</w:t>
      </w:r>
    </w:p>
    <w:p>
      <w:pPr>
        <w:keepNext w:val="0"/>
        <w:keepLines w:val="0"/>
        <w:pageBreakBefore w:val="0"/>
        <w:wordWrap/>
        <w:topLinePunct w:val="0"/>
        <w:bidi w:val="0"/>
        <w:snapToGrid/>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23.2 中标（成交）通知书对</w:t>
      </w:r>
      <w:r>
        <w:rPr>
          <w:rFonts w:hint="eastAsia" w:ascii="宋体" w:hAnsi="宋体" w:cs="宋体"/>
          <w:kern w:val="0"/>
          <w:szCs w:val="21"/>
          <w:highlight w:val="none"/>
          <w:lang w:eastAsia="zh-CN"/>
        </w:rPr>
        <w:t>采购人</w:t>
      </w:r>
      <w:r>
        <w:rPr>
          <w:rFonts w:hint="eastAsia" w:ascii="宋体" w:hAnsi="宋体" w:cs="宋体"/>
          <w:kern w:val="0"/>
          <w:szCs w:val="21"/>
          <w:highlight w:val="none"/>
        </w:rPr>
        <w:t>和成交供应商具有法律约束力。中标（成交）通知书发出后，</w:t>
      </w:r>
      <w:r>
        <w:rPr>
          <w:rFonts w:hint="eastAsia" w:ascii="宋体" w:hAnsi="宋体" w:cs="宋体"/>
          <w:kern w:val="0"/>
          <w:szCs w:val="21"/>
          <w:highlight w:val="none"/>
          <w:lang w:eastAsia="zh-CN"/>
        </w:rPr>
        <w:t>采购人</w:t>
      </w:r>
      <w:r>
        <w:rPr>
          <w:rFonts w:hint="eastAsia" w:ascii="宋体" w:hAnsi="宋体" w:cs="宋体"/>
          <w:kern w:val="0"/>
          <w:szCs w:val="21"/>
          <w:highlight w:val="none"/>
        </w:rPr>
        <w:t>改变成交结果或者成交供应商放弃成交，均应当承担相应的法律责任，且不影响服务费的支付；</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23.3 代理机构及</w:t>
      </w:r>
      <w:r>
        <w:rPr>
          <w:rFonts w:hint="eastAsia" w:hAnsi="宋体" w:cs="宋体"/>
          <w:sz w:val="21"/>
          <w:szCs w:val="21"/>
          <w:highlight w:val="none"/>
          <w:lang w:eastAsia="zh-CN"/>
        </w:rPr>
        <w:t>采购人</w:t>
      </w:r>
      <w:r>
        <w:rPr>
          <w:rFonts w:hint="eastAsia" w:hAnsi="宋体" w:cs="宋体"/>
          <w:sz w:val="21"/>
          <w:szCs w:val="21"/>
          <w:highlight w:val="none"/>
        </w:rPr>
        <w:t>对未成交的供应商不承担解释未成交原因的义务。</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24.履约保证金</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24.1成交供应商应按规定提交履约保证金。</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u w:val="single"/>
        </w:rPr>
      </w:pPr>
      <w:r>
        <w:rPr>
          <w:rFonts w:hint="eastAsia" w:ascii="宋体" w:hAnsi="宋体" w:cs="宋体"/>
          <w:szCs w:val="21"/>
          <w:highlight w:val="none"/>
        </w:rPr>
        <w:t>24.2成交供应商须在</w:t>
      </w:r>
      <w:r>
        <w:rPr>
          <w:rFonts w:hint="eastAsia" w:ascii="宋体" w:hAnsi="宋体" w:cs="宋体"/>
          <w:b/>
          <w:bCs/>
          <w:szCs w:val="21"/>
          <w:highlight w:val="none"/>
        </w:rPr>
        <w:t>合同签订之日起5日</w:t>
      </w:r>
      <w:r>
        <w:rPr>
          <w:rFonts w:hint="eastAsia" w:ascii="宋体" w:hAnsi="宋体" w:cs="宋体"/>
          <w:szCs w:val="21"/>
          <w:highlight w:val="none"/>
        </w:rPr>
        <w:t>内向</w:t>
      </w:r>
      <w:r>
        <w:rPr>
          <w:rFonts w:hint="eastAsia" w:ascii="宋体" w:hAnsi="宋体" w:cs="宋体"/>
          <w:szCs w:val="21"/>
          <w:highlight w:val="none"/>
          <w:lang w:eastAsia="zh-CN"/>
        </w:rPr>
        <w:t>采购人</w:t>
      </w:r>
      <w:r>
        <w:rPr>
          <w:rFonts w:hint="eastAsia" w:ascii="宋体" w:hAnsi="宋体" w:cs="宋体"/>
          <w:szCs w:val="21"/>
          <w:highlight w:val="none"/>
        </w:rPr>
        <w:t>提供履金额为合同总价格</w:t>
      </w:r>
      <w:r>
        <w:rPr>
          <w:rFonts w:hint="eastAsia" w:ascii="宋体" w:hAnsi="宋体" w:cs="宋体"/>
          <w:szCs w:val="21"/>
          <w:highlight w:val="none"/>
          <w:u w:val="single"/>
          <w:lang w:val="en-US" w:eastAsia="zh-CN"/>
        </w:rPr>
        <w:t xml:space="preserve"> </w:t>
      </w:r>
      <w:r>
        <w:rPr>
          <w:rFonts w:hint="eastAsia" w:ascii="宋体" w:hAnsi="宋体" w:eastAsia="宋体" w:cs="宋体"/>
          <w:b w:val="0"/>
          <w:bCs w:val="0"/>
          <w:color w:val="000000"/>
          <w:szCs w:val="21"/>
          <w:highlight w:val="none"/>
          <w:u w:val="single"/>
          <w:lang w:val="en-US" w:eastAsia="zh-CN"/>
        </w:rPr>
        <w:t>/</w:t>
      </w:r>
      <w:r>
        <w:rPr>
          <w:rFonts w:hint="eastAsia" w:ascii="宋体" w:hAnsi="宋体" w:cs="宋体"/>
          <w:szCs w:val="21"/>
          <w:highlight w:val="none"/>
          <w:u w:val="single"/>
        </w:rPr>
        <w:t>%</w:t>
      </w:r>
      <w:r>
        <w:rPr>
          <w:rFonts w:hint="eastAsia" w:ascii="宋体" w:hAnsi="宋体" w:cs="宋体"/>
          <w:szCs w:val="21"/>
          <w:highlight w:val="none"/>
        </w:rPr>
        <w:t>的履约保证金或保函。</w:t>
      </w:r>
    </w:p>
    <w:p>
      <w:pPr>
        <w:keepNext w:val="0"/>
        <w:keepLines w:val="0"/>
        <w:pageBreakBefore w:val="0"/>
        <w:widowControl/>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24.3履约保证金将项目结束后30日内无息退返成交供应商。</w:t>
      </w:r>
    </w:p>
    <w:p>
      <w:pPr>
        <w:keepNext w:val="0"/>
        <w:keepLines w:val="0"/>
        <w:pageBreakBefore w:val="0"/>
        <w:wordWrap/>
        <w:topLinePunct w:val="0"/>
        <w:bidi w:val="0"/>
        <w:snapToGrid/>
        <w:spacing w:line="440" w:lineRule="exact"/>
        <w:textAlignment w:val="auto"/>
        <w:rPr>
          <w:rFonts w:ascii="宋体" w:hAnsi="宋体" w:cs="宋体"/>
          <w:b/>
          <w:color w:val="auto"/>
          <w:szCs w:val="21"/>
          <w:highlight w:val="none"/>
        </w:rPr>
      </w:pPr>
      <w:r>
        <w:rPr>
          <w:rFonts w:hint="eastAsia" w:ascii="宋体" w:hAnsi="宋体" w:cs="宋体"/>
          <w:b/>
          <w:color w:val="auto"/>
          <w:szCs w:val="21"/>
          <w:highlight w:val="none"/>
        </w:rPr>
        <w:t>25.代理机构服务费</w:t>
      </w:r>
    </w:p>
    <w:p>
      <w:pPr>
        <w:keepNext w:val="0"/>
        <w:keepLines w:val="0"/>
        <w:pageBreakBefore w:val="0"/>
        <w:wordWrap/>
        <w:topLinePunct w:val="0"/>
        <w:bidi w:val="0"/>
        <w:snapToGrid/>
        <w:spacing w:line="440" w:lineRule="exact"/>
        <w:ind w:firstLine="420" w:firstLineChars="200"/>
        <w:textAlignment w:val="auto"/>
        <w:rPr>
          <w:rFonts w:ascii="宋体" w:hAnsi="宋体" w:cs="宋体"/>
          <w:b/>
          <w:color w:val="auto"/>
          <w:szCs w:val="21"/>
          <w:highlight w:val="none"/>
        </w:rPr>
      </w:pPr>
      <w:r>
        <w:rPr>
          <w:rFonts w:hint="eastAsia" w:ascii="宋体" w:hAnsi="宋体" w:cs="宋体"/>
          <w:color w:val="auto"/>
          <w:szCs w:val="21"/>
          <w:highlight w:val="none"/>
        </w:rPr>
        <w:t xml:space="preserve">25.1 </w:t>
      </w:r>
      <w:r>
        <w:rPr>
          <w:rFonts w:hint="eastAsia" w:ascii="宋体" w:hAnsi="宋体" w:cs="宋体"/>
          <w:b/>
          <w:color w:val="auto"/>
          <w:szCs w:val="21"/>
          <w:highlight w:val="none"/>
        </w:rPr>
        <w:t>服务费按照下列标准收取并由成交供应商承担，供应商报价时应考虑在内，成交供应商应在领取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通知书时将中标服务费付至</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以下</w:t>
      </w:r>
      <w:r>
        <w:rPr>
          <w:rFonts w:hint="eastAsia" w:ascii="宋体" w:hAnsi="宋体" w:cs="宋体"/>
          <w:b/>
          <w:color w:val="auto"/>
          <w:szCs w:val="21"/>
          <w:highlight w:val="none"/>
          <w:lang w:eastAsia="zh-CN"/>
        </w:rPr>
        <w:t>账</w:t>
      </w:r>
      <w:r>
        <w:rPr>
          <w:rFonts w:hint="eastAsia" w:ascii="宋体" w:hAnsi="宋体" w:cs="宋体"/>
          <w:b/>
          <w:color w:val="auto"/>
          <w:szCs w:val="21"/>
          <w:highlight w:val="none"/>
        </w:rPr>
        <w:t>户</w:t>
      </w:r>
      <w:r>
        <w:rPr>
          <w:rFonts w:hint="eastAsia" w:ascii="宋体" w:hAnsi="宋体" w:cs="宋体"/>
          <w:b/>
          <w:color w:val="auto"/>
          <w:szCs w:val="21"/>
          <w:highlight w:val="none"/>
        </w:rPr>
        <w:pict>
          <v:shape id="任意多边形 5" o:spid="_x0000_s1027" style="position:absolute;left:0pt;margin-left:161.8pt;margin-top:17.65pt;height:0.75pt;width:0pt;mso-position-horizontal-relative:page;z-index:-251656192;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w:r>
      <w:r>
        <w:rPr>
          <w:rFonts w:hint="eastAsia" w:ascii="宋体" w:hAnsi="宋体" w:cs="宋体"/>
          <w:b/>
          <w:color w:val="auto"/>
          <w:szCs w:val="21"/>
          <w:highlight w:val="none"/>
        </w:rPr>
        <w:t>：</w:t>
      </w:r>
    </w:p>
    <w:p>
      <w:pPr>
        <w:keepNext w:val="0"/>
        <w:keepLines w:val="0"/>
        <w:pageBreakBefore w:val="0"/>
        <w:wordWrap/>
        <w:topLinePunct w:val="0"/>
        <w:bidi w:val="0"/>
        <w:snapToGri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收款单位：常州青枫招标有限公司</w:t>
      </w:r>
    </w:p>
    <w:p>
      <w:pPr>
        <w:keepNext w:val="0"/>
        <w:keepLines w:val="0"/>
        <w:pageBreakBefore w:val="0"/>
        <w:wordWrap/>
        <w:topLinePunct w:val="0"/>
        <w:bidi w:val="0"/>
        <w:snapToGrid/>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收款银行：中信银行常州分行      </w:t>
      </w:r>
    </w:p>
    <w:p>
      <w:pPr>
        <w:keepNext w:val="0"/>
        <w:keepLines w:val="0"/>
        <w:pageBreakBefore w:val="0"/>
        <w:wordWrap/>
        <w:topLinePunct w:val="0"/>
        <w:bidi w:val="0"/>
        <w:snapToGrid/>
        <w:spacing w:line="44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银行账号：811 0501 0121 0099 2840</w:t>
      </w:r>
      <w:r>
        <w:rPr>
          <w:rFonts w:hint="eastAsia" w:ascii="宋体" w:hAnsi="宋体" w:cs="宋体"/>
          <w:color w:val="auto"/>
          <w:szCs w:val="21"/>
          <w:highlight w:val="none"/>
        </w:rPr>
        <w:t xml:space="preserve"> </w:t>
      </w:r>
    </w:p>
    <w:p>
      <w:pPr>
        <w:keepNext w:val="0"/>
        <w:keepLines w:val="0"/>
        <w:pageBreakBefore w:val="0"/>
        <w:wordWrap/>
        <w:topLinePunct w:val="0"/>
        <w:bidi w:val="0"/>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25.2 代理服务收费标准</w:t>
      </w:r>
    </w:p>
    <w:tbl>
      <w:tblPr>
        <w:tblStyle w:val="27"/>
        <w:tblW w:w="4955" w:type="dxa"/>
        <w:tblInd w:w="1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0" w:type="dxa"/>
            <w:vAlign w:val="center"/>
          </w:tcPr>
          <w:p>
            <w:pPr>
              <w:pStyle w:val="63"/>
              <w:keepNext w:val="0"/>
              <w:keepLines w:val="0"/>
              <w:pageBreakBefore w:val="0"/>
              <w:suppressLineNumbers w:val="0"/>
              <w:kinsoku w:val="0"/>
              <w:wordWrap/>
              <w:overflowPunct w:val="0"/>
              <w:topLinePunct w:val="0"/>
              <w:bidi w:val="0"/>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中标</w:t>
            </w:r>
            <w:r>
              <w:rPr>
                <w:rFonts w:hint="eastAsia" w:ascii="宋体" w:hAnsi="宋体" w:cs="宋体"/>
                <w:color w:val="auto"/>
                <w:spacing w:val="-3"/>
                <w:sz w:val="21"/>
                <w:szCs w:val="21"/>
                <w:highlight w:val="none"/>
              </w:rPr>
              <w:t>金</w:t>
            </w:r>
            <w:r>
              <w:rPr>
                <w:rFonts w:hint="eastAsia" w:ascii="宋体" w:hAnsi="宋体" w:cs="宋体"/>
                <w:color w:val="auto"/>
                <w:sz w:val="21"/>
                <w:szCs w:val="21"/>
                <w:highlight w:val="none"/>
              </w:rPr>
              <w:t>额</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万</w:t>
            </w:r>
            <w:r>
              <w:rPr>
                <w:rFonts w:hint="eastAsia" w:ascii="宋体" w:hAnsi="宋体" w:cs="宋体"/>
                <w:color w:val="auto"/>
                <w:spacing w:val="-3"/>
                <w:sz w:val="21"/>
                <w:szCs w:val="21"/>
                <w:highlight w:val="none"/>
              </w:rPr>
              <w:t>元</w:t>
            </w:r>
            <w:r>
              <w:rPr>
                <w:rFonts w:hint="eastAsia" w:ascii="宋体" w:hAnsi="宋体" w:cs="宋体"/>
                <w:color w:val="auto"/>
                <w:sz w:val="21"/>
                <w:szCs w:val="21"/>
                <w:highlight w:val="none"/>
              </w:rPr>
              <w:t>）</w:t>
            </w:r>
          </w:p>
        </w:tc>
        <w:tc>
          <w:tcPr>
            <w:tcW w:w="1725" w:type="dxa"/>
            <w:vAlign w:val="center"/>
          </w:tcPr>
          <w:p>
            <w:pPr>
              <w:pStyle w:val="63"/>
              <w:keepNext w:val="0"/>
              <w:keepLines w:val="0"/>
              <w:pageBreakBefore w:val="0"/>
              <w:suppressLineNumbers w:val="0"/>
              <w:kinsoku w:val="0"/>
              <w:wordWrap/>
              <w:overflowPunct w:val="0"/>
              <w:topLinePunct w:val="0"/>
              <w:bidi w:val="0"/>
              <w:snapToGrid/>
              <w:spacing w:before="0" w:beforeAutospacing="0" w:after="0" w:afterAutospacing="0" w:line="440" w:lineRule="exact"/>
              <w:ind w:left="0" w:right="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0" w:type="dxa"/>
            <w:vAlign w:val="center"/>
          </w:tcPr>
          <w:p>
            <w:pPr>
              <w:pStyle w:val="63"/>
              <w:keepNext w:val="0"/>
              <w:keepLines w:val="0"/>
              <w:pageBreakBefore w:val="0"/>
              <w:suppressLineNumbers w:val="0"/>
              <w:tabs>
                <w:tab w:val="center" w:pos="866"/>
                <w:tab w:val="left" w:pos="1157"/>
              </w:tabs>
              <w:kinsoku w:val="0"/>
              <w:wordWrap/>
              <w:overflowPunct w:val="0"/>
              <w:topLinePunct w:val="0"/>
              <w:bidi w:val="0"/>
              <w:snapToGrid/>
              <w:spacing w:before="0" w:beforeAutospacing="0" w:after="0" w:afterAutospacing="0" w:line="440" w:lineRule="exact"/>
              <w:ind w:left="0" w:right="624"/>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100</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含</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下</w:t>
            </w:r>
            <w:r>
              <w:rPr>
                <w:rFonts w:hint="eastAsia" w:ascii="宋体" w:hAnsi="宋体" w:cs="宋体"/>
                <w:color w:val="auto"/>
                <w:spacing w:val="-3"/>
                <w:sz w:val="21"/>
                <w:szCs w:val="21"/>
                <w:highlight w:val="none"/>
              </w:rPr>
              <w:t>同</w:t>
            </w:r>
            <w:r>
              <w:rPr>
                <w:rFonts w:hint="eastAsia" w:ascii="宋体" w:hAnsi="宋体" w:cs="宋体"/>
                <w:color w:val="auto"/>
                <w:sz w:val="21"/>
                <w:szCs w:val="21"/>
                <w:highlight w:val="none"/>
              </w:rPr>
              <w:t>）</w:t>
            </w:r>
            <w:r>
              <w:rPr>
                <w:rFonts w:hint="eastAsia" w:ascii="宋体" w:hAnsi="宋体" w:cs="宋体"/>
                <w:color w:val="auto"/>
                <w:spacing w:val="-3"/>
                <w:sz w:val="21"/>
                <w:szCs w:val="21"/>
                <w:highlight w:val="none"/>
              </w:rPr>
              <w:t>以</w:t>
            </w:r>
            <w:r>
              <w:rPr>
                <w:rFonts w:hint="eastAsia" w:ascii="宋体" w:hAnsi="宋体" w:cs="宋体"/>
                <w:color w:val="auto"/>
                <w:sz w:val="21"/>
                <w:szCs w:val="21"/>
                <w:highlight w:val="none"/>
              </w:rPr>
              <w:t>下</w:t>
            </w:r>
          </w:p>
        </w:tc>
        <w:tc>
          <w:tcPr>
            <w:tcW w:w="1725" w:type="dxa"/>
            <w:vAlign w:val="center"/>
          </w:tcPr>
          <w:p>
            <w:pPr>
              <w:keepNext w:val="0"/>
              <w:keepLines w:val="0"/>
              <w:pageBreakBefore w:val="0"/>
              <w:widowControl/>
              <w:suppressLineNumbers w:val="0"/>
              <w:wordWrap/>
              <w:topLinePunct w:val="0"/>
              <w:bidi w:val="0"/>
              <w:snapToGrid/>
              <w:spacing w:before="0" w:beforeAutospacing="0" w:after="0" w:afterAutospacing="0" w:line="440" w:lineRule="exact"/>
              <w:ind w:left="0" w:right="0" w:firstLine="420" w:firstLineChars="200"/>
              <w:jc w:val="both"/>
              <w:textAlignment w:val="center"/>
              <w:outlineLvl w:val="9"/>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p>
        </w:tc>
      </w:tr>
    </w:tbl>
    <w:p>
      <w:pPr>
        <w:keepNext w:val="0"/>
        <w:keepLines w:val="0"/>
        <w:pageBreakBefore w:val="0"/>
        <w:wordWrap/>
        <w:topLinePunct w:val="0"/>
        <w:bidi w:val="0"/>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25.2.1 中标服务收费按差额定率累进法计算。</w:t>
      </w:r>
    </w:p>
    <w:p>
      <w:pPr>
        <w:keepNext w:val="0"/>
        <w:keepLines w:val="0"/>
        <w:pageBreakBefore w:val="0"/>
        <w:wordWrap/>
        <w:topLinePunct w:val="0"/>
        <w:bidi w:val="0"/>
        <w:snapToGrid/>
        <w:spacing w:line="440" w:lineRule="exact"/>
        <w:ind w:firstLine="420" w:firstLineChars="200"/>
        <w:rPr>
          <w:rFonts w:ascii="宋体" w:hAnsi="宋体" w:cs="宋体"/>
          <w:b/>
          <w:bCs/>
          <w:color w:val="000000"/>
          <w:szCs w:val="21"/>
          <w:highlight w:val="none"/>
        </w:rPr>
      </w:pPr>
      <w:r>
        <w:rPr>
          <w:rFonts w:hint="eastAsia" w:ascii="宋体" w:hAnsi="宋体" w:cs="宋体"/>
          <w:color w:val="auto"/>
          <w:szCs w:val="21"/>
          <w:highlight w:val="none"/>
        </w:rPr>
        <w:t>25.2.2 中标服务收费按上述计算方法不足人民币3000元的，按人民币3000元收取。</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26. 合同的签订</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26.1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应按中标（成交）通知书规定的时间、地点，按照</w:t>
      </w:r>
      <w:r>
        <w:rPr>
          <w:rFonts w:hint="eastAsia" w:ascii="宋体" w:hAnsi="宋体" w:cs="宋体"/>
          <w:szCs w:val="21"/>
          <w:highlight w:val="none"/>
          <w:lang w:eastAsia="zh-CN"/>
        </w:rPr>
        <w:t>谈判文件</w:t>
      </w:r>
      <w:r>
        <w:rPr>
          <w:rFonts w:hint="eastAsia" w:ascii="宋体" w:hAnsi="宋体" w:eastAsia="宋体" w:cs="宋体"/>
          <w:szCs w:val="21"/>
          <w:highlight w:val="none"/>
        </w:rPr>
        <w:t>确定的事项与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签订采购合同，且不得迟于中标（成交）通知之日起三十日内，否则</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保证金</w:t>
      </w:r>
      <w:r>
        <w:rPr>
          <w:rFonts w:hint="eastAsia" w:ascii="宋体" w:hAnsi="宋体" w:eastAsia="宋体" w:cs="宋体"/>
          <w:szCs w:val="21"/>
          <w:highlight w:val="none"/>
        </w:rPr>
        <w:t>将不予退还，由此给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还应承担赔偿责任。</w:t>
      </w:r>
    </w:p>
    <w:p>
      <w:pPr>
        <w:pStyle w:val="6"/>
        <w:keepNext w:val="0"/>
        <w:keepLines w:val="0"/>
        <w:pageBreakBefore w:val="0"/>
        <w:widowControl w:val="0"/>
        <w:kinsoku/>
        <w:wordWrap/>
        <w:overflowPunct w:val="0"/>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26.2 </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通知书指定的时间、地点派代表前来与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具体商谈签订合同。</w:t>
      </w:r>
      <w:r>
        <w:rPr>
          <w:rFonts w:hint="eastAsia" w:hAnsi="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及</w:t>
      </w:r>
      <w:r>
        <w:rPr>
          <w:rFonts w:hint="eastAsia" w:hAnsi="宋体" w:cs="宋体"/>
          <w:sz w:val="21"/>
          <w:szCs w:val="21"/>
          <w:highlight w:val="none"/>
          <w:lang w:eastAsia="zh-CN"/>
        </w:rPr>
        <w:t>谈判</w:t>
      </w:r>
      <w:r>
        <w:rPr>
          <w:rFonts w:hint="eastAsia" w:ascii="宋体" w:hAnsi="宋体" w:eastAsia="宋体" w:cs="宋体"/>
          <w:sz w:val="21"/>
          <w:szCs w:val="21"/>
          <w:highlight w:val="none"/>
        </w:rPr>
        <w:t>过程中有关澄清、承诺文件均应作为合同附件。</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 xml:space="preserve">26.3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未按期签订采购合同的，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可以与排位在</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之后第一位的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候选人签订采购合同或重新委托进行招标。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26.4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因不可抗力导致无法按期签订采购合同的，应当在不可抗力发生之日起5日内提出，并提供书面证据，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及</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互不承担任何责任及损失。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26.5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无正当理由未按期签订采购合同的，视为自动放弃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资格，并承担违约责任。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26.6 签订合同后，</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不得将</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及其他相关服务进行转包</w:t>
      </w:r>
      <w:r>
        <w:rPr>
          <w:rFonts w:hint="eastAsia" w:ascii="宋体" w:hAnsi="宋体" w:eastAsia="宋体" w:cs="宋体"/>
          <w:szCs w:val="21"/>
          <w:highlight w:val="none"/>
          <w:lang w:eastAsia="zh-CN"/>
        </w:rPr>
        <w:t>。未经采购人同意，成交供应商也不得采用分包的形式履行合同，</w:t>
      </w:r>
      <w:r>
        <w:rPr>
          <w:rFonts w:hint="eastAsia" w:ascii="宋体" w:hAnsi="宋体" w:eastAsia="宋体" w:cs="宋体"/>
          <w:szCs w:val="21"/>
          <w:highlight w:val="none"/>
        </w:rPr>
        <w:t>否则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的履约保证金将不予退还。转包或分包造成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应承担相应赔偿责任。</w:t>
      </w:r>
    </w:p>
    <w:p>
      <w:pPr>
        <w:pStyle w:val="2"/>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eastAsia="宋体" w:cs="宋体"/>
          <w:szCs w:val="21"/>
          <w:highlight w:val="none"/>
        </w:rPr>
        <w:t>26.</w:t>
      </w:r>
      <w:r>
        <w:rPr>
          <w:rFonts w:hint="eastAsia" w:ascii="宋体" w:hAnsi="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签订采购合同之日起，</w:t>
      </w:r>
      <w:r>
        <w:rPr>
          <w:rFonts w:hint="eastAsia" w:ascii="宋体" w:hAnsi="宋体" w:eastAsia="宋体" w:cs="宋体"/>
          <w:b/>
          <w:bCs/>
          <w:szCs w:val="21"/>
          <w:highlight w:val="none"/>
          <w:lang w:eastAsia="zh-CN"/>
        </w:rPr>
        <w:t>七</w:t>
      </w:r>
      <w:r>
        <w:rPr>
          <w:rFonts w:hint="eastAsia" w:ascii="宋体" w:hAnsi="宋体" w:eastAsia="宋体" w:cs="宋体"/>
          <w:b/>
          <w:bCs/>
          <w:szCs w:val="21"/>
          <w:highlight w:val="none"/>
        </w:rPr>
        <w:t>个工作日</w:t>
      </w:r>
      <w:r>
        <w:rPr>
          <w:rFonts w:hint="eastAsia" w:ascii="宋体" w:hAnsi="宋体" w:eastAsia="宋体" w:cs="宋体"/>
          <w:szCs w:val="21"/>
          <w:highlight w:val="none"/>
        </w:rPr>
        <w:t>内将合同送代理机构对相关合同信息确认后，进行合同见证盖章。</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 已经签约的，所签订的合同无效，同时代理机构不承担任何责任。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27.1 采取不正当手段诋毁、排挤或串通他人的；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27.2 有吵闹、起哄、斗殴等行为，扰乱招投标现场、评审或办公秩序的；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27.3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后，无正当理由拒不签订合同或者合同签订后未能履行又不按约赔偿的；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27.4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w:t>
      </w:r>
      <w:r>
        <w:rPr>
          <w:rFonts w:hint="eastAsia" w:ascii="宋体" w:hAnsi="宋体" w:eastAsia="宋体" w:cs="宋体"/>
          <w:color w:val="auto"/>
          <w:szCs w:val="21"/>
          <w:highlight w:val="none"/>
        </w:rPr>
        <w:t>不缴付履约保证金或服务费的；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27.5 提出不当要求，进行恶意敲诈的；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27.6 提供虚假材料谋取中标（</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27.7 提供虚假材料或者未按规定程序进行质疑、投诉、诉讼，影响项目正常进行的；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eastAsia="宋体" w:cs="宋体"/>
          <w:szCs w:val="21"/>
          <w:highlight w:val="none"/>
        </w:rPr>
        <w:t>27.8 向代理机构工作人员行贿或提供其他不正当利益的。</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28.成交供应商违反第27条规定，并且导致中标无效的，</w:t>
      </w:r>
      <w:r>
        <w:rPr>
          <w:rFonts w:hint="eastAsia" w:ascii="宋体" w:hAnsi="宋体" w:cs="宋体"/>
          <w:b/>
          <w:szCs w:val="21"/>
          <w:highlight w:val="none"/>
          <w:lang w:eastAsia="zh-CN"/>
        </w:rPr>
        <w:t>采购人</w:t>
      </w:r>
      <w:r>
        <w:rPr>
          <w:rFonts w:hint="eastAsia" w:ascii="宋体" w:hAnsi="宋体" w:cs="宋体"/>
          <w:b/>
          <w:szCs w:val="21"/>
          <w:highlight w:val="none"/>
        </w:rPr>
        <w:t>可以与排位在成交供应商之后第一位的中标候选人签订施工合同或重新委托进行招标， 原成交供应商应承担相应损失（包括但不限于以下损失）：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28.1 原招标活动产生的合理费用；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28.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其他相关合理费用。</w:t>
      </w:r>
    </w:p>
    <w:p>
      <w:pPr>
        <w:keepNext w:val="0"/>
        <w:keepLines w:val="0"/>
        <w:pageBreakBefore w:val="0"/>
        <w:wordWrap/>
        <w:topLinePunct w:val="0"/>
        <w:bidi w:val="0"/>
        <w:snapToGrid/>
        <w:spacing w:line="440" w:lineRule="exac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29、其他说明</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sectPr>
          <w:footerReference r:id="rId5" w:type="default"/>
          <w:pgSz w:w="11906" w:h="16838"/>
          <w:pgMar w:top="1361" w:right="1474" w:bottom="1361" w:left="1758" w:header="850" w:footer="992" w:gutter="0"/>
          <w:pgNumType w:chapStyle="1"/>
          <w:cols w:space="720" w:num="1"/>
          <w:docGrid w:type="lines" w:linePitch="312" w:charSpace="0"/>
        </w:sectPr>
      </w:pPr>
      <w:r>
        <w:rPr>
          <w:rFonts w:hint="eastAsia" w:ascii="宋体" w:hAnsi="宋体" w:eastAsia="宋体" w:cs="宋体"/>
          <w:szCs w:val="21"/>
          <w:highlight w:val="none"/>
          <w:lang w:val="en-US" w:eastAsia="zh-CN"/>
        </w:rPr>
        <w:t>29.1整个采购过程中（包括但不限于中标公示期、合同签订等）</w:t>
      </w:r>
      <w:r>
        <w:rPr>
          <w:rFonts w:hint="eastAsia" w:ascii="宋体" w:hAnsi="宋体" w:cs="宋体"/>
          <w:szCs w:val="21"/>
          <w:highlight w:val="none"/>
          <w:lang w:val="en-US" w:eastAsia="zh-CN"/>
        </w:rPr>
        <w:t>成交供应商</w:t>
      </w:r>
      <w:r>
        <w:rPr>
          <w:rFonts w:hint="eastAsia" w:ascii="宋体" w:hAnsi="宋体" w:eastAsia="宋体" w:cs="宋体"/>
          <w:szCs w:val="21"/>
          <w:highlight w:val="none"/>
          <w:lang w:val="en-US" w:eastAsia="zh-CN"/>
        </w:rPr>
        <w:t>必须无条件配合采购人按要求提供相关文件资料，逾期不提供或拒不提供均视同</w:t>
      </w:r>
      <w:r>
        <w:rPr>
          <w:rFonts w:hint="eastAsia" w:ascii="宋体" w:hAnsi="宋体" w:cs="宋体"/>
          <w:szCs w:val="21"/>
          <w:highlight w:val="none"/>
          <w:lang w:val="en-US" w:eastAsia="zh-CN"/>
        </w:rPr>
        <w:t>成交供应商</w:t>
      </w:r>
      <w:r>
        <w:rPr>
          <w:rFonts w:hint="eastAsia" w:ascii="宋体" w:hAnsi="宋体" w:eastAsia="宋体" w:cs="宋体"/>
          <w:szCs w:val="21"/>
          <w:highlight w:val="none"/>
          <w:lang w:val="en-US" w:eastAsia="zh-CN"/>
        </w:rPr>
        <w:t>自愿放弃中标权利。</w:t>
      </w:r>
    </w:p>
    <w:p>
      <w:pPr>
        <w:jc w:val="center"/>
        <w:rPr>
          <w:rFonts w:ascii="宋体" w:hAnsi="宋体" w:cs="宋体"/>
          <w:b/>
          <w:sz w:val="30"/>
          <w:szCs w:val="30"/>
          <w:highlight w:val="none"/>
        </w:rPr>
      </w:pPr>
      <w:bookmarkStart w:id="2" w:name="_Toc5316"/>
      <w:bookmarkStart w:id="3" w:name="_Toc18641"/>
      <w:r>
        <w:rPr>
          <w:rFonts w:hint="eastAsia" w:ascii="宋体" w:hAnsi="宋体" w:cs="宋体"/>
          <w:b/>
          <w:sz w:val="30"/>
          <w:szCs w:val="30"/>
          <w:highlight w:val="none"/>
        </w:rPr>
        <w:t>第二章  响应文件的组成</w:t>
      </w:r>
      <w:bookmarkEnd w:id="2"/>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szCs w:val="21"/>
          <w:highlight w:val="none"/>
        </w:rPr>
      </w:pPr>
      <w:r>
        <w:rPr>
          <w:rFonts w:hint="eastAsia" w:ascii="宋体" w:hAnsi="宋体" w:cs="宋体"/>
          <w:b/>
          <w:szCs w:val="21"/>
          <w:highlight w:val="none"/>
        </w:rPr>
        <w:t>一、资格证明材料，复印件须加盖公章，若复印件未加盖公章，视为未提供该项材料。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*1、响应函；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*2、法定代表人资格证明书；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*3、授权委托书（如果有授权委托情况的，必须提供）；</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*4、有效的法人或者其他组织的营业执照等证明文件复印件；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二、价格及有关商务部分材料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*1、报价一览表；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分项</w:t>
      </w:r>
      <w:r>
        <w:rPr>
          <w:rFonts w:hint="eastAsia" w:ascii="宋体" w:hAnsi="宋体" w:eastAsia="宋体" w:cs="宋体"/>
          <w:szCs w:val="21"/>
          <w:highlight w:val="none"/>
        </w:rPr>
        <w:t>报价表。</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三、技术部分材料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、类似项目业绩；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*2、质量保证、服务承诺；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、偏离表；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、对本次</w:t>
      </w:r>
      <w:r>
        <w:rPr>
          <w:rFonts w:hint="eastAsia" w:ascii="宋体" w:hAnsi="宋体" w:cs="宋体"/>
          <w:szCs w:val="21"/>
          <w:highlight w:val="none"/>
          <w:lang w:val="en-US" w:eastAsia="zh-CN"/>
        </w:rPr>
        <w:t>谈判</w:t>
      </w:r>
      <w:r>
        <w:rPr>
          <w:rFonts w:hint="eastAsia" w:ascii="宋体" w:hAnsi="宋体" w:cs="宋体"/>
          <w:szCs w:val="21"/>
          <w:highlight w:val="none"/>
        </w:rPr>
        <w:t>其他方面的详细说明(供应商视需要自行编写)。</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四、说明</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1、上述带“*”条款供应商必须在响应文件中提供，否则将作为无效响应处理。</w:t>
      </w:r>
      <w:r>
        <w:rPr>
          <w:rFonts w:hint="eastAsia" w:ascii="宋体" w:hAnsi="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eastAsia="宋体" w:cs="宋体"/>
          <w:szCs w:val="21"/>
          <w:highlight w:val="none"/>
        </w:rPr>
        <w:t>2、对</w:t>
      </w:r>
      <w:r>
        <w:rPr>
          <w:rFonts w:hint="eastAsia" w:ascii="宋体" w:hAnsi="宋体" w:cs="宋体"/>
          <w:szCs w:val="21"/>
          <w:highlight w:val="none"/>
          <w:lang w:val="en-US" w:eastAsia="zh-CN"/>
        </w:rPr>
        <w:t>采购人明确自拟</w:t>
      </w:r>
      <w:r>
        <w:rPr>
          <w:rFonts w:hint="eastAsia" w:ascii="宋体" w:hAnsi="宋体" w:eastAsia="宋体" w:cs="宋体"/>
          <w:szCs w:val="21"/>
          <w:highlight w:val="none"/>
        </w:rPr>
        <w:t>的格式 ，投标单位可根据自身情况进行补充和修改，但补充和修改不得造成与</w:t>
      </w:r>
      <w:r>
        <w:rPr>
          <w:rFonts w:hint="eastAsia" w:ascii="宋体" w:hAnsi="宋体" w:cs="宋体"/>
          <w:szCs w:val="21"/>
          <w:highlight w:val="none"/>
          <w:lang w:val="en-US" w:eastAsia="zh-CN"/>
        </w:rPr>
        <w:t>谈判文件</w:t>
      </w:r>
      <w:r>
        <w:rPr>
          <w:rFonts w:hint="eastAsia" w:ascii="宋体" w:hAnsi="宋体" w:eastAsia="宋体" w:cs="宋体"/>
          <w:szCs w:val="21"/>
          <w:highlight w:val="none"/>
        </w:rPr>
        <w:t>内容有实质性的违背。投标单位可提供其它相关的证明材料（不限于此）。</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ascii="宋体" w:hAnsi="宋体" w:cs="宋体"/>
          <w:b/>
          <w:sz w:val="30"/>
          <w:szCs w:val="30"/>
          <w:highlight w:val="none"/>
        </w:rPr>
      </w:pPr>
      <w:r>
        <w:rPr>
          <w:rFonts w:hint="eastAsia" w:ascii="宋体" w:hAnsi="宋体" w:cs="宋体"/>
          <w:b/>
          <w:bCs/>
          <w:szCs w:val="21"/>
          <w:highlight w:val="none"/>
        </w:rPr>
        <w:t>3</w:t>
      </w:r>
      <w:r>
        <w:rPr>
          <w:rFonts w:hint="eastAsia" w:ascii="宋体" w:hAnsi="宋体" w:cs="宋体"/>
          <w:b/>
          <w:bCs/>
          <w:szCs w:val="21"/>
          <w:highlight w:val="none"/>
          <w:lang w:eastAsia="zh-CN"/>
        </w:rPr>
        <w:t>、</w:t>
      </w:r>
      <w:r>
        <w:rPr>
          <w:rFonts w:hint="eastAsia" w:ascii="宋体" w:hAnsi="宋体" w:cs="宋体"/>
          <w:b/>
          <w:bCs/>
          <w:szCs w:val="21"/>
          <w:highlight w:val="none"/>
        </w:rPr>
        <w:t>所有复印件须保证清晰，如因清晰度不够引起的一切后果均由供应商自行承担。</w:t>
      </w:r>
    </w:p>
    <w:p>
      <w:pPr>
        <w:spacing w:line="360" w:lineRule="exact"/>
        <w:jc w:val="center"/>
        <w:rPr>
          <w:rFonts w:hint="eastAsia" w:ascii="宋体" w:hAnsi="宋体" w:cs="宋体"/>
          <w:b/>
          <w:sz w:val="30"/>
          <w:szCs w:val="30"/>
          <w:highlight w:val="none"/>
        </w:rPr>
      </w:pPr>
    </w:p>
    <w:p>
      <w:pPr>
        <w:pStyle w:val="41"/>
        <w:rPr>
          <w:rFonts w:hint="eastAsia"/>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hint="eastAsia" w:ascii="宋体" w:hAnsi="宋体" w:cs="宋体"/>
          <w:b/>
          <w:sz w:val="30"/>
          <w:szCs w:val="30"/>
          <w:highlight w:val="none"/>
        </w:rPr>
      </w:pPr>
    </w:p>
    <w:p>
      <w:pPr>
        <w:spacing w:line="360" w:lineRule="exact"/>
        <w:jc w:val="center"/>
        <w:rPr>
          <w:rFonts w:ascii="宋体" w:hAnsi="宋体" w:cs="宋体"/>
          <w:b/>
          <w:sz w:val="30"/>
          <w:szCs w:val="30"/>
          <w:highlight w:val="none"/>
        </w:rPr>
      </w:pPr>
      <w:r>
        <w:rPr>
          <w:rFonts w:hint="eastAsia" w:ascii="宋体" w:hAnsi="宋体" w:cs="宋体"/>
          <w:b/>
          <w:sz w:val="30"/>
          <w:szCs w:val="30"/>
          <w:highlight w:val="none"/>
        </w:rPr>
        <w:t>第三章  谈判内容及技术要求</w:t>
      </w:r>
      <w:bookmarkEnd w:id="3"/>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ascii="宋体" w:hAnsi="宋体" w:cs="宋体"/>
          <w:b/>
          <w:bCs/>
          <w:szCs w:val="21"/>
          <w:highlight w:val="none"/>
        </w:rPr>
      </w:pPr>
      <w:bookmarkStart w:id="4" w:name="OLE_LINK2"/>
      <w:r>
        <w:rPr>
          <w:rFonts w:hint="eastAsia" w:ascii="宋体" w:hAnsi="宋体" w:cs="宋体"/>
          <w:b/>
          <w:bCs/>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rPr>
        <w:t>本项为</w:t>
      </w:r>
      <w:r>
        <w:rPr>
          <w:rFonts w:hint="eastAsia" w:ascii="宋体" w:hAnsi="宋体" w:cs="宋体"/>
          <w:szCs w:val="21"/>
          <w:highlight w:val="none"/>
          <w:lang w:eastAsia="zh-CN"/>
        </w:rPr>
        <w:t>2023紫云小学环境文化布置项目</w:t>
      </w:r>
      <w:r>
        <w:rPr>
          <w:rFonts w:hint="eastAsia" w:ascii="宋体" w:hAnsi="宋体" w:cs="宋体"/>
          <w:szCs w:val="21"/>
          <w:highlight w:val="none"/>
        </w:rPr>
        <w:t>。包括但不限于</w:t>
      </w:r>
      <w:r>
        <w:rPr>
          <w:rFonts w:hint="eastAsia" w:ascii="宋体" w:hAnsi="宋体" w:cs="宋体"/>
          <w:szCs w:val="21"/>
          <w:highlight w:val="none"/>
          <w:lang w:eastAsia="zh-CN"/>
        </w:rPr>
        <w:t>谈判文件</w:t>
      </w:r>
      <w:r>
        <w:rPr>
          <w:rFonts w:hint="eastAsia" w:ascii="宋体" w:hAnsi="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cs="宋体"/>
          <w:szCs w:val="21"/>
          <w:highlight w:val="none"/>
          <w:lang w:eastAsia="zh-CN"/>
        </w:rPr>
        <w:t>谈判文件</w:t>
      </w:r>
      <w:r>
        <w:rPr>
          <w:rFonts w:hint="eastAsia" w:ascii="宋体" w:hAnsi="宋体" w:cs="宋体"/>
          <w:szCs w:val="21"/>
          <w:highlight w:val="none"/>
        </w:rPr>
        <w:t>所要求的相关工程等全部内容。</w:t>
      </w:r>
    </w:p>
    <w:bookmarkEnd w:id="4"/>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bookmarkStart w:id="5" w:name="_Toc545"/>
      <w:r>
        <w:rPr>
          <w:rFonts w:hint="eastAsia" w:ascii="宋体" w:hAnsi="宋体" w:eastAsia="宋体" w:cs="宋体"/>
          <w:sz w:val="21"/>
          <w:szCs w:val="21"/>
          <w:highlight w:val="none"/>
          <w:lang w:val="en-US" w:eastAsia="zh-CN"/>
        </w:rPr>
        <w:t>2、合同履行期限：</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个日历日内完工。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3、承包方式：包工包料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4、保修期：贰年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kern w:val="0"/>
          <w:sz w:val="21"/>
          <w:szCs w:val="21"/>
          <w:highlight w:val="none"/>
        </w:rPr>
      </w:pPr>
      <w:r>
        <w:rPr>
          <w:rFonts w:hint="eastAsia"/>
          <w:b/>
          <w:bCs/>
          <w:sz w:val="21"/>
          <w:szCs w:val="21"/>
          <w:highlight w:val="none"/>
          <w:lang w:val="en-US" w:eastAsia="zh-CN"/>
        </w:rPr>
        <w:t>二</w:t>
      </w:r>
      <w:r>
        <w:rPr>
          <w:rFonts w:hint="eastAsia"/>
          <w:b/>
          <w:bCs/>
          <w:sz w:val="21"/>
          <w:szCs w:val="21"/>
          <w:highlight w:val="none"/>
        </w:rPr>
        <w:t>、</w:t>
      </w:r>
      <w:r>
        <w:rPr>
          <w:rFonts w:hint="eastAsia" w:ascii="宋体" w:hAnsi="宋体" w:cs="宋体"/>
          <w:b/>
          <w:bCs/>
          <w:color w:val="000000"/>
          <w:kern w:val="0"/>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1、工程质量标准：符合中华人民共和国《建筑工程施工质量验收统一标准》等建筑工程施工质量验收规范的合格标准。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2、工程规范以现行的施工项目任务期间国家和行业新颁布施行的规范、规程为准。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三、付款方式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工程完工项目验收合格后，决算审计结束，按要求开具发票，采购人收到发票后30日内付至审定价的97%，余款在质保期二年后无息付清。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kern w:val="0"/>
          <w:sz w:val="21"/>
          <w:szCs w:val="21"/>
          <w:highlight w:val="none"/>
        </w:rPr>
      </w:pPr>
      <w:r>
        <w:rPr>
          <w:rFonts w:hint="eastAsia" w:ascii="宋体" w:hAnsi="宋体"/>
          <w:b/>
          <w:kern w:val="0"/>
          <w:sz w:val="21"/>
          <w:szCs w:val="21"/>
          <w:highlight w:val="none"/>
        </w:rPr>
        <w:t>五、工程量清单</w:t>
      </w:r>
      <w:r>
        <w:rPr>
          <w:rFonts w:hint="eastAsia" w:ascii="宋体" w:hAnsi="宋体"/>
          <w:kern w:val="0"/>
          <w:sz w:val="21"/>
          <w:szCs w:val="21"/>
          <w:highlight w:val="none"/>
        </w:rPr>
        <w:t>：</w:t>
      </w:r>
    </w:p>
    <w:tbl>
      <w:tblPr>
        <w:tblStyle w:val="27"/>
        <w:tblW w:w="913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968"/>
        <w:gridCol w:w="1094"/>
        <w:gridCol w:w="591"/>
        <w:gridCol w:w="875"/>
        <w:gridCol w:w="1109"/>
        <w:gridCol w:w="1075"/>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序号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内容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规格(cm)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数量</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单价（元）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金额（元）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天桥北入口大厅空间装饰布置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“新四季”文化墙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687*290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18.92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315.52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5968.85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灯带（槽）【复杂多层灯槽叠级墙面圆形灯带;12厚阻燃板基层;12厚石膏板;石膏板拼缝处均需嵌缝膏及接缝纸带;板面钉眼封点防锈漆;901胶白水泥腻子二遍，白色乳胶漆三遍;按饰面板展开面积计算;】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390*290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589.31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7216.69</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墙面地台装饰【木龙骨基础;防火涂料三遍;18厚木工板基层;4厚铝塑板饰面;按图示，满足设计要求】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482*10*38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186.40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898.45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抹灰面油漆【墙面乳胶漆;901胶白水泥腻子二遍，白色乳胶漆三遍;】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588*300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10.19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463.62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抹灰面油漆【墙面乳胶漆;901胶白水泥腻子二遍，清油封底三遍;】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838.85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墙纸裱糊【定制成品艺术墙纸;】</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168.74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2066.39</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标识牌【学校LOGO铭牌：机雕板，亚克力UV，双层立体字;满足设计要求】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43*34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52.632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52.63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标识牌【“新四季创未来”雕刻字：机雕板，亚克力UV，双层立体字;满足设计要求;】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71*38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97.128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97.13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标识牌【“紫云”印章：机雕板，亚克力UV，双层立体字;满足设计要求;】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标识牌【雕刻字FOUR SEASONS CULTURE：亚克力UV，;满足设计要求;】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56*3.5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82.32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82.32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标识牌【消火栓：3M彩印图文；规格700*1600;】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60*170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132.62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“心中有光”文化墙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墙面装饰板【多层造型：石膏板墙面;木龙骨基础;防火涂料三遍;12厚阻燃板基层;12厚石膏板;石膏板拼缝处均需嵌缝膏及接缝纸带;板面钉眼封点防锈漆;按图示，满足设计要求】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195*300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450.60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2636.01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抹灰面油漆【墙面乳胶漆;901胶白水泥腻子二遍，专色双色乳胶漆三遍;按图示，满足设计要求】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195*300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382.01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装饰件【机雕板雕刻字，喷汽车漆;满足设计要求;】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140*160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582.40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582.40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装饰件【XINZHONGYOUGUANG：40*40*2镀锌光管，木工板基层，铝塑板面饰，亚克力雕刻字;满足设计要求;】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419.40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标识牌【雕刻字XINZHONGYOUGUANG：亚克力UV;满足设计要求;】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11*195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90.09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90.09</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装饰件【魔立方：50*50*50CM，UV字;满足设计要求;】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50*50*50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座椅【钢制艺术造型，烤漆;满足设计要求;】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130*80*60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张</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688.00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688.00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装饰件【花造型：钢结构支架；玻璃钢，翻模，彩绘，满足设计要求;】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150*150*240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6750.00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6750.00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装饰件【吉祥物：机雕板UV雕刻;钢支架;满足设计要求;】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90*115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278.00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278.00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“向光而行”门厅装饰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墙面装饰板【装饰墙：木龙骨基础，防火涂料三遍，石膏板底层；柱状造型：18厚木工板基层;4厚铝塑板分色面饰;拼缝处均需嵌缝膏及接缝纸带;按图示安装，满足设计要求】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957.5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18575.50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65*300/90*300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315.52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1467.17</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抹灰面油漆【墙面乳胶漆;901胶白水泥腻子二遍，清油封底三遍;】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65*300/90*300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318.53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标识牌【“向光而行”发光字：金属围边6CM，烤汽车漆，LED白光；亚克力面板;规格数量：36*36CM1个，24*24CM3个;】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936.00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936.00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装饰件【吉祥物：机雕板UV雕刻;满足设计要求;】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78*51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106.00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标识牌【LOGO:围边6CM铝合金隐框灯箱，软膜UV面层;规格60*60CM;】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60*60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消防维修门【木工板，铝塑板饰面，五金铰链;】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门装饰【3M车贴;UV彩印;满足设计要求】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200*200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896.00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顶棚装饰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吊顶天棚【吊顶造型顶棚：φ8镀锌丝杆,60系列轻钢龙骨,横撑龙骨400*600MM,10mm纸面石膏板,贴自粘胶带,钉眼封点防锈漆;乳胶漆三底三面，白色；吊顶高度按图示;】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740*540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1560.60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抹灰面油漆【原天棚涂料铲除，顶棚局部补灰打磨砂平，901胶白水泥腻子、灰色乳胶漆各两遍;具体做法和吊顶高度按图示;】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740*540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908.80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横梁【顶棚横梁造型：30*40MM木龙骨，间距400*600MM,10mm纸面石膏板,贴自粘胶带,钉眼封点防锈漆;乳胶漆三底三面，白色；】</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380*15*10/550*15*10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546.84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格栅吊顶【φ8，高900mm全丝杆吊筋@1100mm；60系列轻钢龙骨;成品40*80*1.2铝方通，中间距100mm;吊顶高度按图示;】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6020.80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控制屏【小米43寸i5/8+128G双系统；挂架版;】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2650.58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2650.58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装饰灯【LED软灯带;8W/m;嵌装;】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装饰灯【LED导轨射灯;1*15W;轨道安装;】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117.39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586.95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装饰灯【射灯导轨支架;】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52.49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157.47</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装饰灯【4寸LED射灯;1*7W;吊顶嵌装;含灯头接线盒、连接线及接线软管;】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309.80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装饰灯【4寸筒灯;1*7W;嵌入式安装;含金属软管、线盒】</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106.63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639.78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配线【管内穿线;WDZB-BYJ-2.5;铜芯;】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7.73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610.67</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配管【电气配管;紧定管;JDG25*1.6;砖、混结构暗配;含墙面开槽、打孔及水泥砂浆面层修复;】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635.58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配管【电气配管;紧定管;JDG20*1.6;吊顶内敷设;】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224.28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插座【单相二三极组合暗装插座;86H 250V/10A(安全型);暗装;】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35.86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控制器【灯箱电源控制器;】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171.85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171.85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68834.71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天桥南入口大厅空间装饰布置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“音我精彩”文化墙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原墙面铲除清理.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抹灰面油漆【墙面乳胶漆;901胶白水泥腻子二遍，白色乳胶漆三遍;满足设计要求】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756*160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387.07</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标识牌【“音你精彩”雕刻字：机雕板，亚克力UV，双层立体字;满足设计要求;】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23*23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59.80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239.20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装饰墙【彩色纤维软板，1CM厚，镶嵌拼色;满足设计要求;】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450*85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443.70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标识牌【吉祥物：机雕板，亚克力UV，双层;满足设计要求;】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113*132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377.00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377.00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装饰件【LOGO：机雕板UV雕刻;满足设计要求;】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102*57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186.05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186.05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装饰件【音符：机雕板UV雕刻;满足设计要求;】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278.00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278.00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照片墙【六边形：20MM厚机雕板，亚克力UV照片，双层，磁性;满足设计要求;】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36.5*32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1134.00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照片墙【六边形：20MM厚机雕板，亚克力UV照片，双层，磁性;满足设计要求;】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25*22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225.00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装饰件【键盘墙贴：透明膜UV;满足设计要求;】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45*756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221.13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3651.15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天桥顶棚装饰布置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天桥天棚吊顶【吊顶造型顶棚：网格板△造型，φ8镀锌丝杆,金属构件固定,焊点防锈漆，彩色专色氟碳漆三底三面；】</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180*390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49.77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10700.55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展示墙【△造型网格板，金属构件固定,焊点防锈漆，彩色专色氟碳漆三底三面；数量6片】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37.62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8088.30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天桥西立面学生作品墙【基架：40*40MM镀锌方管，间距400*600MM，18MM厚木工板，防火涂料三遍；】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1125*390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44.4375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425.60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18912.60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天桥西立面学生作品墙【展示墙：2厚磁性钢板，烤瓷漆，面层艺术贴装饰；304不锈钢折弯包边装饰】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1125*390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44.4375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276.60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12291.41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背景墙【屋型造型装饰：30*40MM木龙骨，间距400*400MM，18MM厚木工板，防火涂料三遍，3厚21丝铝塑板饰面，按图示，满足设计要求】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837*390*28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18.33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357.75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6557.56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背景墙【基架：40*40MM镀锌方管，间距400*600MM，18MM厚木工板，防火涂料三遍；满足设计要求】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120*195/100*358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8.618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425.60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3667.82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背景墙【展示板：10MM厚吸音板面层艺术贴装饰；满足设计要求】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130*205/110*358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9.268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1112.16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背景墙【展示柜：20MM厚实木板；哑光漆；10MM厚吸音板题板；按图示，满足设计要求】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200*350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9.268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6024.20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标题字【雪弗板,UV彩印；】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76.50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作品陈列矮柜【20MM厚实木板；哑光漆；】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80*360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2232.00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阶梯式作品陈列柜【20MM厚实木板；哑光漆；】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4160.00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折页型陈列架【钢架，防锈漆三遍，面喷黑色漆三遍；20MM厚实木层板；哑光漆；】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72*175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7350.00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装饰件【钢架，防锈漆三遍，面喷黑色漆三遍；20MM木工板板；石膏板，批灰打磨，清油封底三遍，面贴定制成品墙纸；图板深化设计，满足设计要求】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4560.00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海报架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天桥钢架支柱装饰【彩色专色涂料面涂三遍；】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85.60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6711.04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天桥东立面装饰布置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展示墙【△造型网格板，金属构件固定,焊点防锈漆，彩色专色氟碳漆三底三面；规格330*380CM,数量10片】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62.70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13480.50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展示墙【△造型网格板，金属构件固定,焊点防锈漆，彩色专色氟碳漆三底三面；规格160*390CM,数量4片】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390*167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2795.00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背景墙【基架：40*40MM镀锌方管，间距400*600MM，18MM厚木工板，防火涂料三遍；10MM厚纤维软板饰面；满足设计要求】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330*286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535.00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15022.80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背景基座【基架：40*40MM镀锌方管，间距400*600MM，18MM厚木工板，防火涂料三遍；10MM厚纤维软板饰面；满足设计要求】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105*760*35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595.00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4522.00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标识牌【FOUR SEASONS CULTURE立体字：20MM厚雪弗板，围边60MM,满足设计要求;】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60*40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1814.40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壁式陈列柜【20MM厚实木板；哑光漆；】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50*200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1240.00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786.00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作品陈列矮柜【20MM厚实木板；哑光漆；】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80*440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2728.00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阶梯式作品陈列柜【20MM厚实木板；哑光漆；】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4160.00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4160.00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折页型陈列架【钢架，防锈漆三遍，面喷黑色漆三遍；20MM厚实木层板；哑光漆；】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72*350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2450.00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装饰件【钢架，防锈漆三遍，面喷黑色漆三遍；20MM木工板板；石膏板，批灰打磨，清油封底三遍，面贴定制成品墙纸；图板深化设计，满足设计要求】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300*340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4080.00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4080.00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海报架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天桥钢架支柱装饰【彩色专色涂料面涂三遍；】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6664.00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“3M”地贴：深化设计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160*3150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3276.00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其它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满堂脚手架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1000.00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垂直运输【材料人工上楼;】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1000.00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垃圾清运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159272.84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一楼走廊</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格栅吊顶【φ8，高900mm全丝杆吊筋@1100mm；60系列轻钢龙骨;成品40*80*1.2铝方通，中间距100mm;吊顶高度按图示;】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1100*1450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33814.00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灯具【LED条形灯（10*100CM）; 安装; 满足设计参数、功能及规范要求；】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5510.00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配线【管内穿线;WDZB-BYJ-2.5;铜芯;】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7.73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2782.80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配管【电气配管;紧定管;JDG20*1.6;吊顶内敷设;】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3177.30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45284.10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277042.80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sz w:val="21"/>
          <w:szCs w:val="21"/>
          <w:highlight w:val="none"/>
        </w:rPr>
      </w:pPr>
      <w:r>
        <w:rPr>
          <w:rFonts w:hint="eastAsia" w:ascii="宋体" w:hAnsi="宋体"/>
          <w:b/>
          <w:sz w:val="21"/>
          <w:szCs w:val="21"/>
          <w:highlight w:val="none"/>
          <w:lang w:val="en-US" w:eastAsia="zh-CN"/>
        </w:rPr>
        <w:t>六</w:t>
      </w:r>
      <w:r>
        <w:rPr>
          <w:rFonts w:hint="eastAsia" w:ascii="宋体" w:hAnsi="宋体"/>
          <w:b/>
          <w:sz w:val="21"/>
          <w:szCs w:val="21"/>
          <w:highlight w:val="none"/>
        </w:rPr>
        <w:t>、重要说明</w:t>
      </w:r>
    </w:p>
    <w:p>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sz w:val="21"/>
          <w:szCs w:val="21"/>
          <w:highlight w:val="none"/>
        </w:rPr>
      </w:pPr>
      <w:r>
        <w:rPr>
          <w:rFonts w:hint="eastAsia" w:ascii="宋体" w:hAnsi="宋体"/>
          <w:b/>
          <w:sz w:val="21"/>
          <w:szCs w:val="21"/>
          <w:highlight w:val="none"/>
          <w:lang w:val="en-US" w:eastAsia="zh-CN"/>
        </w:rPr>
        <w:t>1</w:t>
      </w:r>
      <w:r>
        <w:rPr>
          <w:rFonts w:hint="eastAsia" w:ascii="宋体" w:hAnsi="宋体"/>
          <w:b/>
          <w:sz w:val="21"/>
          <w:szCs w:val="21"/>
          <w:highlight w:val="none"/>
        </w:rPr>
        <w:t>、</w:t>
      </w:r>
      <w:r>
        <w:rPr>
          <w:rFonts w:hint="eastAsia" w:ascii="宋体" w:hAnsi="宋体"/>
          <w:b/>
          <w:sz w:val="21"/>
          <w:szCs w:val="21"/>
          <w:highlight w:val="none"/>
          <w:lang w:eastAsia="zh-CN"/>
        </w:rPr>
        <w:t>成交供应商</w:t>
      </w:r>
      <w:r>
        <w:rPr>
          <w:rFonts w:hint="eastAsia" w:ascii="宋体" w:hAnsi="宋体"/>
          <w:b/>
          <w:sz w:val="21"/>
          <w:szCs w:val="21"/>
          <w:highlight w:val="none"/>
        </w:rPr>
        <w:t>必须为进场施工人员购买建筑工程团体意外险或针对该项目的个人人身意外伤害保险，如</w:t>
      </w:r>
      <w:r>
        <w:rPr>
          <w:rFonts w:hint="eastAsia" w:ascii="宋体" w:hAnsi="宋体"/>
          <w:b/>
          <w:sz w:val="21"/>
          <w:szCs w:val="21"/>
          <w:highlight w:val="none"/>
          <w:lang w:eastAsia="zh-CN"/>
        </w:rPr>
        <w:t>采购人</w:t>
      </w:r>
      <w:r>
        <w:rPr>
          <w:rFonts w:hint="eastAsia" w:ascii="宋体" w:hAnsi="宋体"/>
          <w:b/>
          <w:sz w:val="21"/>
          <w:szCs w:val="21"/>
          <w:highlight w:val="none"/>
        </w:rPr>
        <w:t>核查后发现其未给施工人员购买的，则有权</w:t>
      </w:r>
      <w:r>
        <w:rPr>
          <w:rFonts w:hint="eastAsia" w:ascii="宋体" w:hAnsi="宋体"/>
          <w:b/>
          <w:sz w:val="21"/>
          <w:szCs w:val="21"/>
          <w:highlight w:val="none"/>
          <w:lang w:eastAsia="zh-CN"/>
        </w:rPr>
        <w:t>终</w:t>
      </w:r>
      <w:r>
        <w:rPr>
          <w:rFonts w:hint="eastAsia" w:ascii="宋体" w:hAnsi="宋体"/>
          <w:b/>
          <w:sz w:val="21"/>
          <w:szCs w:val="21"/>
          <w:highlight w:val="none"/>
        </w:rPr>
        <w:t>止合同。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2</w:t>
      </w:r>
      <w:r>
        <w:rPr>
          <w:rFonts w:hint="eastAsia" w:ascii="宋体" w:hAnsi="宋体"/>
          <w:kern w:val="0"/>
          <w:sz w:val="21"/>
          <w:szCs w:val="21"/>
          <w:highlight w:val="none"/>
        </w:rPr>
        <w:t>、清单项目特征描述不全者依据相关规范及按现场踏勘情况。除</w:t>
      </w:r>
      <w:r>
        <w:rPr>
          <w:rFonts w:hint="eastAsia" w:ascii="宋体" w:hAnsi="宋体"/>
          <w:kern w:val="0"/>
          <w:sz w:val="21"/>
          <w:szCs w:val="21"/>
          <w:highlight w:val="none"/>
          <w:lang w:eastAsia="zh-CN"/>
        </w:rPr>
        <w:t>采购人</w:t>
      </w:r>
      <w:r>
        <w:rPr>
          <w:rFonts w:hint="eastAsia" w:ascii="宋体" w:hAnsi="宋体"/>
          <w:kern w:val="0"/>
          <w:sz w:val="21"/>
          <w:szCs w:val="21"/>
          <w:highlight w:val="none"/>
        </w:rPr>
        <w:t>定价的材料外其他所有材料均由</w:t>
      </w:r>
      <w:r>
        <w:rPr>
          <w:rFonts w:hint="eastAsia" w:ascii="宋体" w:hAnsi="宋体"/>
          <w:kern w:val="0"/>
          <w:sz w:val="21"/>
          <w:szCs w:val="21"/>
          <w:highlight w:val="none"/>
          <w:lang w:eastAsia="zh-CN"/>
        </w:rPr>
        <w:t>供应商</w:t>
      </w:r>
      <w:r>
        <w:rPr>
          <w:rFonts w:hint="eastAsia" w:ascii="宋体" w:hAnsi="宋体"/>
          <w:kern w:val="0"/>
          <w:sz w:val="21"/>
          <w:szCs w:val="21"/>
          <w:highlight w:val="none"/>
        </w:rPr>
        <w:t>自行报价。工程量清单项目特征中没有体现的，施工中又必须发生的工程内容所需的费用</w:t>
      </w:r>
      <w:r>
        <w:rPr>
          <w:rFonts w:hint="eastAsia" w:ascii="宋体" w:hAnsi="宋体"/>
          <w:kern w:val="0"/>
          <w:sz w:val="21"/>
          <w:szCs w:val="21"/>
          <w:highlight w:val="none"/>
          <w:lang w:eastAsia="zh-CN"/>
        </w:rPr>
        <w:t>供应商</w:t>
      </w:r>
      <w:r>
        <w:rPr>
          <w:rFonts w:hint="eastAsia" w:ascii="宋体" w:hAnsi="宋体"/>
          <w:kern w:val="0"/>
          <w:sz w:val="21"/>
          <w:szCs w:val="21"/>
          <w:highlight w:val="none"/>
        </w:rPr>
        <w:t>应考察现场实际情况计入</w:t>
      </w:r>
      <w:r>
        <w:rPr>
          <w:rFonts w:hint="eastAsia" w:ascii="宋体" w:hAnsi="宋体"/>
          <w:kern w:val="0"/>
          <w:sz w:val="21"/>
          <w:szCs w:val="21"/>
          <w:highlight w:val="none"/>
          <w:lang w:eastAsia="zh-CN"/>
        </w:rPr>
        <w:t>谈判报价</w:t>
      </w:r>
      <w:r>
        <w:rPr>
          <w:rFonts w:hint="eastAsia" w:ascii="宋体" w:hAnsi="宋体"/>
          <w:kern w:val="0"/>
          <w:sz w:val="21"/>
          <w:szCs w:val="21"/>
          <w:highlight w:val="none"/>
        </w:rPr>
        <w:t>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3</w:t>
      </w:r>
      <w:r>
        <w:rPr>
          <w:rFonts w:hint="eastAsia" w:ascii="宋体" w:hAnsi="宋体"/>
          <w:kern w:val="0"/>
          <w:sz w:val="21"/>
          <w:szCs w:val="21"/>
          <w:highlight w:val="none"/>
        </w:rPr>
        <w:t>、</w:t>
      </w:r>
      <w:r>
        <w:rPr>
          <w:rFonts w:hint="eastAsia" w:ascii="宋体" w:hAnsi="宋体"/>
          <w:kern w:val="0"/>
          <w:sz w:val="21"/>
          <w:szCs w:val="21"/>
          <w:highlight w:val="none"/>
          <w:lang w:eastAsia="zh-CN"/>
        </w:rPr>
        <w:t>供应商</w:t>
      </w:r>
      <w:r>
        <w:rPr>
          <w:rFonts w:hint="eastAsia" w:ascii="宋体" w:hAnsi="宋体"/>
          <w:kern w:val="0"/>
          <w:sz w:val="21"/>
          <w:szCs w:val="21"/>
          <w:highlight w:val="none"/>
        </w:rPr>
        <w:t>应自行踏勘现场，并充分考虑本工程的复杂性、所涉及的各项措施费及风险因素后再进行投标；进场前施工单位应与</w:t>
      </w:r>
      <w:r>
        <w:rPr>
          <w:rFonts w:hint="eastAsia" w:ascii="宋体" w:hAnsi="宋体"/>
          <w:kern w:val="0"/>
          <w:sz w:val="21"/>
          <w:szCs w:val="21"/>
          <w:highlight w:val="none"/>
          <w:lang w:eastAsia="zh-CN"/>
        </w:rPr>
        <w:t>采购人项目经理</w:t>
      </w:r>
      <w:r>
        <w:rPr>
          <w:rFonts w:hint="eastAsia" w:ascii="宋体" w:hAnsi="宋体"/>
          <w:kern w:val="0"/>
          <w:sz w:val="21"/>
          <w:szCs w:val="21"/>
          <w:highlight w:val="none"/>
        </w:rPr>
        <w:t>对接后施工，不得盲目施工，造成不必要的损失；否则损失均由施工单位自行承担；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lang w:val="en-US" w:eastAsia="zh-CN"/>
        </w:rPr>
      </w:pPr>
      <w:r>
        <w:rPr>
          <w:rFonts w:hint="eastAsia" w:ascii="宋体" w:hAnsi="宋体"/>
          <w:kern w:val="0"/>
          <w:sz w:val="21"/>
          <w:szCs w:val="21"/>
          <w:highlight w:val="none"/>
          <w:lang w:val="en-US" w:eastAsia="zh-CN"/>
        </w:rPr>
        <w:t>4、所有品牌需严格按清单编制说明、合同等谈判文件建议品牌选用。未建议的品牌需在加工或进场前封样并经采购人确认，否则产生的一切费用由成交供应商承担；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lang w:val="en-US" w:eastAsia="zh-CN"/>
        </w:rPr>
      </w:pPr>
      <w:r>
        <w:rPr>
          <w:rFonts w:hint="eastAsia" w:ascii="宋体" w:hAnsi="宋体"/>
          <w:kern w:val="0"/>
          <w:sz w:val="21"/>
          <w:szCs w:val="21"/>
          <w:highlight w:val="none"/>
          <w:lang w:val="en-US" w:eastAsia="zh-CN"/>
        </w:rPr>
        <w:t>5、严格落实材料封样、工序样板制度，所有需验收的工序需经过样板段验收合格后方可开展施工，否则产生的一切费用由成交供应商承担。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6</w:t>
      </w:r>
      <w:r>
        <w:rPr>
          <w:rFonts w:hint="eastAsia" w:ascii="宋体" w:hAnsi="宋体"/>
          <w:kern w:val="0"/>
          <w:sz w:val="21"/>
          <w:szCs w:val="21"/>
          <w:highlight w:val="none"/>
        </w:rPr>
        <w:t>、</w:t>
      </w:r>
      <w:r>
        <w:rPr>
          <w:rFonts w:hint="eastAsia" w:ascii="宋体" w:hAnsi="宋体"/>
          <w:kern w:val="0"/>
          <w:sz w:val="21"/>
          <w:szCs w:val="21"/>
          <w:highlight w:val="none"/>
          <w:lang w:eastAsia="zh-CN"/>
        </w:rPr>
        <w:t>成交供应商</w:t>
      </w:r>
      <w:r>
        <w:rPr>
          <w:rFonts w:hint="eastAsia" w:ascii="宋体" w:hAnsi="宋体"/>
          <w:kern w:val="0"/>
          <w:sz w:val="21"/>
          <w:szCs w:val="21"/>
          <w:highlight w:val="none"/>
        </w:rPr>
        <w:t>有义务配合</w:t>
      </w:r>
      <w:r>
        <w:rPr>
          <w:rFonts w:hint="eastAsia" w:ascii="宋体" w:hAnsi="宋体"/>
          <w:kern w:val="0"/>
          <w:sz w:val="21"/>
          <w:szCs w:val="21"/>
          <w:highlight w:val="none"/>
          <w:lang w:eastAsia="zh-CN"/>
        </w:rPr>
        <w:t>采购人</w:t>
      </w:r>
      <w:r>
        <w:rPr>
          <w:rFonts w:hint="eastAsia" w:ascii="宋体" w:hAnsi="宋体"/>
          <w:kern w:val="0"/>
          <w:sz w:val="21"/>
          <w:szCs w:val="21"/>
          <w:highlight w:val="none"/>
        </w:rPr>
        <w:t>做好相关单位的协调工作。</w:t>
      </w:r>
    </w:p>
    <w:p>
      <w:pPr>
        <w:spacing w:line="360" w:lineRule="auto"/>
        <w:jc w:val="center"/>
        <w:rPr>
          <w:rFonts w:hint="eastAsia" w:ascii="宋体" w:hAnsi="宋体" w:cs="宋体"/>
          <w:b/>
          <w:bCs/>
          <w:sz w:val="28"/>
          <w:szCs w:val="28"/>
          <w:highlight w:val="none"/>
        </w:rPr>
      </w:pPr>
    </w:p>
    <w:p>
      <w:pPr>
        <w:pStyle w:val="41"/>
        <w:rPr>
          <w:rFonts w:hint="eastAsia"/>
          <w:highlight w:val="none"/>
        </w:rPr>
      </w:pPr>
    </w:p>
    <w:p>
      <w:pPr>
        <w:rPr>
          <w:rFonts w:hint="eastAsia"/>
          <w:highlight w:val="none"/>
        </w:rPr>
      </w:pPr>
    </w:p>
    <w:p>
      <w:pPr>
        <w:pStyle w:val="41"/>
        <w:rPr>
          <w:rFonts w:hint="eastAsia"/>
          <w:highlight w:val="none"/>
        </w:rPr>
      </w:pPr>
    </w:p>
    <w:p>
      <w:pPr>
        <w:rPr>
          <w:rFonts w:hint="eastAsia"/>
          <w:highlight w:val="none"/>
        </w:rPr>
      </w:pPr>
    </w:p>
    <w:p>
      <w:pPr>
        <w:pStyle w:val="41"/>
        <w:rPr>
          <w:rFonts w:hint="eastAsia"/>
          <w:highlight w:val="none"/>
        </w:rPr>
      </w:pPr>
    </w:p>
    <w:p>
      <w:pPr>
        <w:rPr>
          <w:rFonts w:hint="eastAsia"/>
          <w:highlight w:val="none"/>
        </w:rPr>
      </w:pPr>
    </w:p>
    <w:p>
      <w:pPr>
        <w:pStyle w:val="41"/>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第四章 合同主要条款（参考）</w:t>
      </w:r>
      <w:bookmarkEnd w:id="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21"/>
          <w:szCs w:val="21"/>
          <w:highlight w:val="none"/>
          <w:u w:val="single"/>
          <w:lang w:eastAsia="en-US"/>
        </w:rPr>
      </w:pPr>
      <w:bookmarkStart w:id="6" w:name="_Toc9865"/>
      <w:r>
        <w:rPr>
          <w:rFonts w:hint="eastAsia" w:ascii="宋体" w:hAnsi="宋体" w:eastAsia="宋体" w:cs="宋体"/>
          <w:b/>
          <w:kern w:val="0"/>
          <w:sz w:val="21"/>
          <w:szCs w:val="21"/>
          <w:highlight w:val="none"/>
          <w:lang w:eastAsia="en-US"/>
        </w:rPr>
        <w:t>甲方：</w:t>
      </w:r>
      <w:r>
        <w:rPr>
          <w:rFonts w:hint="eastAsia" w:ascii="宋体" w:hAnsi="宋体" w:eastAsia="宋体" w:cs="宋体"/>
          <w:bCs/>
          <w:kern w:val="0"/>
          <w:sz w:val="21"/>
          <w:szCs w:val="21"/>
          <w:highlight w:val="none"/>
          <w:lang w:eastAsia="en-US"/>
        </w:rPr>
        <w:t>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rPr>
        <w:t>乙方：</w:t>
      </w:r>
      <w:r>
        <w:rPr>
          <w:rFonts w:hint="eastAsia" w:ascii="宋体" w:hAnsi="宋体" w:eastAsia="宋体" w:cs="宋体"/>
          <w:bCs/>
          <w:kern w:val="0"/>
          <w:sz w:val="21"/>
          <w:szCs w:val="21"/>
          <w:highlight w:val="none"/>
          <w:lang w:eastAsia="en-US"/>
        </w:rPr>
        <w:t xml:space="preserve">_______________________  </w:t>
      </w:r>
      <w:r>
        <w:rPr>
          <w:rFonts w:hint="eastAsia" w:ascii="宋体" w:hAnsi="宋体" w:eastAsia="宋体" w:cs="宋体"/>
          <w:b/>
          <w:kern w:val="0"/>
          <w:sz w:val="21"/>
          <w:szCs w:val="21"/>
          <w:highlight w:val="none"/>
          <w:lang w:eastAsia="en-US"/>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rPr>
        <w:t>代理机构：</w:t>
      </w:r>
      <w:r>
        <w:rPr>
          <w:rFonts w:hint="eastAsia" w:ascii="宋体" w:hAnsi="宋体" w:eastAsia="宋体" w:cs="宋体"/>
          <w:b/>
          <w:kern w:val="0"/>
          <w:sz w:val="21"/>
          <w:szCs w:val="21"/>
          <w:highlight w:val="none"/>
          <w:u w:val="single"/>
          <w:lang w:eastAsia="en-US"/>
        </w:rPr>
        <w:t>常州青枫招标有限公司</w:t>
      </w:r>
      <w:r>
        <w:rPr>
          <w:rFonts w:hint="eastAsia" w:ascii="宋体" w:hAnsi="宋体" w:eastAsia="宋体" w:cs="宋体"/>
          <w:b/>
          <w:kern w:val="0"/>
          <w:sz w:val="21"/>
          <w:szCs w:val="21"/>
          <w:highlight w:val="none"/>
          <w:lang w:eastAsia="en-US"/>
        </w:rPr>
        <w:t xml:space="preserve">             </w:t>
      </w:r>
      <w:r>
        <w:rPr>
          <w:rFonts w:hint="eastAsia" w:ascii="宋体" w:hAnsi="宋体" w:eastAsia="宋体" w:cs="宋体"/>
          <w:bCs/>
          <w:kern w:val="0"/>
          <w:sz w:val="21"/>
          <w:szCs w:val="21"/>
          <w:highlight w:val="none"/>
          <w:lang w:eastAsia="en-US"/>
        </w:rPr>
        <w:t>项目编号：________________</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按照《中华人民共和国民法典》和《中华人民共和国建筑法》的规定，结合本工程具体情况，双方达成如下协议。</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第1条  工程概况</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  工程名称：</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1.2  工程地点：</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  承包范围：</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1.4  承包方式：</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lang w:val="en-US" w:eastAsia="zh-CN" w:bidi="ar-SA"/>
        </w:rPr>
        <w:t>1.5  工期:</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天</w:t>
      </w:r>
      <w:r>
        <w:rPr>
          <w:rFonts w:hint="eastAsia" w:ascii="宋体" w:hAnsi="宋体" w:eastAsia="宋体" w:cs="宋体"/>
          <w:kern w:val="2"/>
          <w:sz w:val="21"/>
          <w:szCs w:val="21"/>
          <w:highlight w:val="none"/>
          <w:u w:val="none"/>
          <w:lang w:val="en-US" w:eastAsia="zh-CN" w:bidi="ar-SA"/>
        </w:rPr>
        <w:t>，工期总日历天数与后述计划开竣工日期计算的工期天数不一致的，以工期总日历天数为准。</w:t>
      </w:r>
    </w:p>
    <w:p>
      <w:pPr>
        <w:keepNext w:val="0"/>
        <w:keepLines w:val="0"/>
        <w:pageBreakBefore w:val="0"/>
        <w:widowControl w:val="0"/>
        <w:kinsoku/>
        <w:wordWrap/>
        <w:overflowPunct/>
        <w:topLinePunct w:val="0"/>
        <w:autoSpaceDE/>
        <w:autoSpaceDN/>
        <w:bidi w:val="0"/>
        <w:spacing w:after="0" w:line="400" w:lineRule="exac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u w:val="none"/>
          <w:lang w:val="en-US" w:eastAsia="zh-CN" w:bidi="ar-SA"/>
        </w:rPr>
        <w:t>（1）计划开工日期：</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月</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日</w:t>
      </w:r>
    </w:p>
    <w:p>
      <w:pPr>
        <w:keepNext w:val="0"/>
        <w:keepLines w:val="0"/>
        <w:pageBreakBefore w:val="0"/>
        <w:widowControl w:val="0"/>
        <w:kinsoku/>
        <w:wordWrap/>
        <w:overflowPunct/>
        <w:topLinePunct w:val="0"/>
        <w:autoSpaceDE/>
        <w:autoSpaceDN/>
        <w:bidi w:val="0"/>
        <w:spacing w:after="0" w:line="400" w:lineRule="exac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（2）计划竣工日期：</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月</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日</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1.6  工程质量：</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1.7  合同价款(人民币大写):</w:t>
      </w:r>
      <w:r>
        <w:rPr>
          <w:rFonts w:hint="eastAsia" w:ascii="宋体" w:hAnsi="宋体" w:eastAsia="宋体" w:cs="宋体"/>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第2条  甲方工作</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  开工前</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天,向乙方提供经确认的施工图纸或作法说明</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份,并向乙方进行现场交底。甲方帮助乙方与物业协调施工所需的水、电、气及电讯等设备，并说明使用注意事项。费用由乙方承担。办理施工所涉及的各种申请、批件等手续。</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  指派</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为甲方驻工地代表，联系方式：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  委托</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监理单位对项目进行此案场管理，委托</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审计部门对项目进行全过程审计。</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第3条  乙方工作</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  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3.2  指派</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为乙方驻工地代表，联系方式：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3.3  严格执行施工规范、安全操作规程、防火安全规定。严格按照图纸或作法说明进行施工，做好各项质量检查记录。参加竣工验收，编制工程结算，绘制竣工图。</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3.4  遵守国家或地方政府及有关部门对施工现场管理的规定，妥善保护好施工现场周围建筑物、设备管线不受损坏。做好施工现场保卫和垃圾消纳等工作，处理好由于施工带来的扰民问题及与周围单位（居民）的关系。</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3.5  施工过程中引起的绿化损失应及时修复并承担其费用，费用已含在报价中。</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3.6  负责做好现场保卫、消防、垃圾处理等工作，并承担相应费用，费用已含在报价中。</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3.7  施工中未经甲方同意或有关部门批准，不得随便拆改原建筑物结构及各种设备管线。</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3.8  工程竣工未移交甲方之前，负责对现场的一切设施和工程成品进行保护。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3.9  甲方有权对现场不称职或不合格的技术负责人、其他人员提出更换，乙方应无条件接受。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3.10工地内不安排民工宿舍及办公室。异地搭设临建需租地，其租地费用、交通费用等一切费用及所需承担的责任由乙方负责。现场的材料及设备、工具由乙方保管。</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3.11乙方应及时办理隐蔽工程和中间工程的检查与验收手续。任一项隐蔽工程的验收未通过甲方的验收，甲方可对乙方处以1000元/次的罚款；乙方修复直至通过验收，罚款不返还。若乙方拒缴罚款，甲方有权不支付工程款并要求乙方暂停下</w:t>
      </w:r>
      <w:r>
        <w:rPr>
          <w:rFonts w:hint="eastAsia" w:ascii="宋体" w:hAnsi="宋体" w:eastAsia="宋体" w:cs="宋体"/>
          <w:kern w:val="0"/>
          <w:sz w:val="21"/>
          <w:szCs w:val="21"/>
          <w:highlight w:val="none"/>
          <w:lang w:eastAsia="zh-CN"/>
        </w:rPr>
        <w:t>步</w:t>
      </w:r>
      <w:r>
        <w:rPr>
          <w:rFonts w:hint="eastAsia" w:ascii="宋体" w:hAnsi="宋体" w:eastAsia="宋体" w:cs="宋体"/>
          <w:kern w:val="0"/>
          <w:sz w:val="21"/>
          <w:szCs w:val="21"/>
          <w:highlight w:val="none"/>
          <w:lang w:eastAsia="en-US"/>
        </w:rPr>
        <w:t>节点的施工。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3.12乙方在施工过程中，甲方有权要求对乙方的施工进行适当调整安排，对甲方提出的安排，乙方应积极服从。如乙方拒绝服从甲方的调整安排，甲方有权对乙方进行相应的经济处罚。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3.13工程竣工后，乙方应通知甲方验收，甲方自接到验收通知10日内组织验收，并办理验收、移交手续。如甲方在规定时间内未能组织验收，需及时通知乙方，另定验收日期，但甲方应承认竣工日期，但不承担乙方在此期间的看管等相关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3.14乙方负责完工工程移交甲方之前的维护及保管工作。</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3.15材料堆放及现场施工应服从甲方管理，做到材料堆放整齐、规范，施工现场保证工完场地</w:t>
      </w:r>
      <w:r>
        <w:rPr>
          <w:rFonts w:hint="eastAsia" w:ascii="宋体" w:hAnsi="宋体" w:eastAsia="宋体" w:cs="宋体"/>
          <w:kern w:val="0"/>
          <w:sz w:val="21"/>
          <w:szCs w:val="21"/>
          <w:highlight w:val="none"/>
          <w:lang w:val="en-US" w:eastAsia="zh-CN"/>
        </w:rPr>
        <w:t>清</w:t>
      </w:r>
      <w:r>
        <w:rPr>
          <w:rFonts w:hint="eastAsia" w:ascii="宋体" w:hAnsi="宋体" w:eastAsia="宋体" w:cs="宋体"/>
          <w:kern w:val="0"/>
          <w:sz w:val="21"/>
          <w:szCs w:val="21"/>
          <w:highlight w:val="none"/>
          <w:lang w:eastAsia="en-US"/>
        </w:rPr>
        <w:t>；保持施工现场整洁、通畅。施工现场严禁打架、斗殴，工作前严禁喝酒，一经发现，甲方有权处以500</w:t>
      </w:r>
      <w:r>
        <w:rPr>
          <w:rFonts w:hint="eastAsia" w:ascii="宋体" w:hAnsi="宋体" w:eastAsia="宋体" w:cs="宋体"/>
          <w:kern w:val="0"/>
          <w:sz w:val="21"/>
          <w:szCs w:val="21"/>
          <w:highlight w:val="none"/>
          <w:lang w:eastAsia="zh-CN"/>
        </w:rPr>
        <w:t>元</w:t>
      </w:r>
      <w:r>
        <w:rPr>
          <w:rFonts w:hint="eastAsia" w:ascii="宋体" w:hAnsi="宋体" w:eastAsia="宋体" w:cs="宋体"/>
          <w:kern w:val="0"/>
          <w:sz w:val="21"/>
          <w:szCs w:val="21"/>
          <w:highlight w:val="none"/>
          <w:lang w:eastAsia="en-US"/>
        </w:rPr>
        <w:t>/次罚款，罚款直接在工程款中扣除。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3.16做好现场垃圾处理与清运等工作，并承担费用。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3.17在施工区域设置必要的危险警示牌、灯等，采取警示措施，避免发生伤亡事故，工程施工期间所发生伤亡等一切事故，均由乙方承担，所发生的一切费用均由乙方全部支付。</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3.18乙方应随时接受甲方对工程的监督和检查，对不符合规范的施工项目无条件组织返工或整改，所产生的返工或整改的一切费用（含设备、材料、人工、搬运及保管费等），由乙方自行承担。</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第4条  关于工期的约定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由于非乙方原因导致的工期延误，工期顺延，由于乙方原因导致的工期延误，详见9.1条。</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第5条  关于工程质量及验收的约定</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5.1  本工程以施工图纸、作法说明、设计变更和国家制订的现行施工及验收规范为质量评定验收标准。</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5.2  本工程质量应达到国家质量评定</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标准。</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5.3  乙方负责采购的材料，应严格按采购文件要求采购,并提供产品合格证明,对材料质量负责。乙方采购的材料在使用前,应按照甲方或监理的要求进行检验或试验,不合格的不得使用,检验或试验费用由乙方承担。</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5.4  由于乙方原因造成质量事故，其损失及费用由乙方承担，工期不顺延。</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5.5  工程竣工后，乙方应通知甲方验收，甲方自接到验收通知</w:t>
      </w:r>
      <w:r>
        <w:rPr>
          <w:rFonts w:hint="eastAsia" w:ascii="宋体" w:hAnsi="宋体" w:eastAsia="宋体" w:cs="宋体"/>
          <w:kern w:val="2"/>
          <w:sz w:val="21"/>
          <w:szCs w:val="21"/>
          <w:highlight w:val="none"/>
          <w:u w:val="single"/>
          <w:lang w:val="en-US" w:eastAsia="zh-CN" w:bidi="ar-SA"/>
        </w:rPr>
        <w:t xml:space="preserve"> 10 </w:t>
      </w:r>
      <w:r>
        <w:rPr>
          <w:rFonts w:hint="eastAsia" w:ascii="宋体" w:hAnsi="宋体" w:eastAsia="宋体" w:cs="宋体"/>
          <w:kern w:val="2"/>
          <w:sz w:val="21"/>
          <w:szCs w:val="21"/>
          <w:highlight w:val="none"/>
          <w:lang w:val="en-US" w:eastAsia="zh-CN" w:bidi="ar-SA"/>
        </w:rPr>
        <w:t>日内组织验收，并办理验收、移交手续。如甲方在规定时间内未能组织验收，需及时通知乙方，另定验收日期，但甲方应承认竣工日期。</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第6条  关于工程价款及结算的约定</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6.1  双方商定本合同价款采用 </w:t>
      </w:r>
      <w:r>
        <w:rPr>
          <w:rFonts w:hint="eastAsia" w:ascii="宋体" w:hAnsi="宋体" w:eastAsia="宋体" w:cs="宋体"/>
          <w:kern w:val="2"/>
          <w:sz w:val="21"/>
          <w:szCs w:val="21"/>
          <w:highlight w:val="none"/>
          <w:u w:val="single"/>
          <w:lang w:val="en-US" w:eastAsia="zh-CN" w:bidi="ar-SA"/>
        </w:rPr>
        <w:t>单价合同</w:t>
      </w:r>
      <w:r>
        <w:rPr>
          <w:rFonts w:hint="eastAsia" w:ascii="宋体" w:hAnsi="宋体" w:eastAsia="宋体" w:cs="宋体"/>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本合同采用固定综合单价，合同价款中包括的风险范围：</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（1）市场风险（包括采用新的验收标准，施工期间材料价格在一定范围内的波动等）</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（2）综合单价（不随工程量的增减而调整，另有约定的除外）；</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（3）措施项目费用；</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（4）乙方的投标文件；</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（5）经踏勘后的现场条件；</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（6）乙方已充分踏勘现场，合同价中已考虑甲方不能提供临时设施搭设场地所需自行解决的因素，结算时不因此而调整合同价格。</w:t>
      </w:r>
    </w:p>
    <w:p>
      <w:pPr>
        <w:keepNext w:val="0"/>
        <w:keepLines w:val="0"/>
        <w:pageBreakBefore w:val="0"/>
        <w:widowControl w:val="0"/>
        <w:kinsoku/>
        <w:wordWrap/>
        <w:overflowPunct/>
        <w:topLinePunct w:val="0"/>
        <w:autoSpaceDE/>
        <w:autoSpaceDN/>
        <w:bidi w:val="0"/>
        <w:spacing w:after="0" w:line="400" w:lineRule="exact"/>
        <w:ind w:firstLine="210" w:firstLineChars="1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（7）乙方已考虑到本工程施工期间不能影响甲方的正常办公等因素，并对因此而增加的围栏、防护、人工降效及其他可能产生的费用已考虑且已含在合同价中，结算时不因此而调整合同价格。</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6.2风险费用的计算方法：</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综合考虑在投标综合单价内，在合同约定风险范围内不作调整。</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乙方承诺工程结算核减率若超过10%或有核增额，超出该约定范围的审计费用由乙方承担。 </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风险范围以外合同价款调整方法： </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（一）本工程工程量按实结算。</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（二）分部分项工程费应根据承、发包双方确认的工程量、乙方的投标综合单价计算。</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合同执行期间，如遇文件规定的人工费和机械费调整，则按文件规定执行。</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(三) 如施工中出现工程量清单漏项、非乙方原因的工程变更（含材料）、额外增加工作量以及工程签证等造成新增的工程量清单项目，其对应的综合单价结算原则为：投标报价中有适用的综合单价的，按投标综合单价结算；投标报价中只有类似于变更工程的价格，可参照类似价格结算；投标报价中无适用的综合单价的，由乙方依据《建设工程工程量清单计价规范》（GB50500-2013）、2014版《江苏省市政工程计价定额》施工方投标书所报的人工、材、机械价格、取费费率并参考投标条件编制综合单价及分析，经监理、甲方及审计部门审定后作为结算依据。</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 xml:space="preserve">    （四）所有暂估价材料结算时只调整实际材料价格与暂定材料价格的差额、差额部分的总承包服务费以及差额部分实际发生的规费，其它不予调整。</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6.3因非乙方原因引起的工程量增减，该项工程量变化在合同约定幅度以内的，应执行原有的综合单价；该项工程量变化在合同约定幅度以外的，其综合单价应按如下原则予以调整：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（一）当工程量清单项目工程量的变化幅度在15%以内时，其综合单价不作调整，执行原有综合单价。</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二）当工程量清单项目工程量的变化幅度在15%以外，且其影响分部分项工程费超过0.1%时，其综合单价以及对应的措施费（如有）均应作调整。调整的方法是由乙方对增加的工程量或减少后剩余的工程量按投标条件提出新的综合单价和措施项目费，经甲方确认后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（三）合同中没有适用或类似的综合单价，由乙方依据《江苏省建设工程工程清单计价项目指引》、《建设工程工程量清单计价规范》（GB50500-2013）、</w:t>
      </w:r>
      <w:r>
        <w:rPr>
          <w:rFonts w:hint="eastAsia" w:ascii="宋体" w:hAnsi="宋体" w:eastAsia="宋体" w:cs="宋体"/>
          <w:kern w:val="0"/>
          <w:sz w:val="21"/>
          <w:szCs w:val="21"/>
          <w:highlight w:val="none"/>
          <w:lang w:val="en-US" w:eastAsia="zh-CN"/>
        </w:rPr>
        <w:t>2014</w:t>
      </w:r>
      <w:r>
        <w:rPr>
          <w:rFonts w:hint="eastAsia" w:ascii="宋体" w:hAnsi="宋体" w:eastAsia="宋体" w:cs="宋体"/>
          <w:kern w:val="0"/>
          <w:sz w:val="21"/>
          <w:szCs w:val="21"/>
          <w:highlight w:val="none"/>
          <w:lang w:eastAsia="en-US"/>
        </w:rPr>
        <w:t>版</w:t>
      </w:r>
      <w:r>
        <w:rPr>
          <w:rFonts w:hint="eastAsia" w:ascii="宋体" w:hAnsi="宋体" w:eastAsia="宋体" w:cs="宋体"/>
          <w:kern w:val="0"/>
          <w:sz w:val="21"/>
          <w:szCs w:val="21"/>
          <w:highlight w:val="none"/>
          <w:lang w:eastAsia="zh-CN"/>
        </w:rPr>
        <w:t>《江苏省市政工程计价定额》</w:t>
      </w:r>
      <w:r>
        <w:rPr>
          <w:rFonts w:hint="eastAsia" w:ascii="宋体" w:hAnsi="宋体" w:eastAsia="宋体" w:cs="宋体"/>
          <w:kern w:val="0"/>
          <w:sz w:val="21"/>
          <w:szCs w:val="21"/>
          <w:highlight w:val="none"/>
          <w:lang w:eastAsia="en-US"/>
        </w:rPr>
        <w:t>、2006版《常州市建设工程补充计价表》、江苏省2014机械台班定额、2014版《江苏省建筑与装饰、安装、市政工程补充定额》、2014版《江苏省建设工程费用定额》、</w:t>
      </w:r>
      <w:r>
        <w:rPr>
          <w:rFonts w:hint="eastAsia" w:ascii="宋体" w:hAnsi="宋体" w:eastAsia="宋体" w:cs="宋体"/>
          <w:kern w:val="0"/>
          <w:sz w:val="21"/>
          <w:szCs w:val="21"/>
          <w:highlight w:val="none"/>
          <w:lang w:eastAsia="zh-CN"/>
        </w:rPr>
        <w:t>201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zh-CN"/>
        </w:rPr>
        <w:t>版《江苏省绿色建筑工程计价定额》</w:t>
      </w:r>
      <w:r>
        <w:rPr>
          <w:rFonts w:hint="eastAsia" w:ascii="宋体" w:hAnsi="宋体" w:eastAsia="宋体" w:cs="宋体"/>
          <w:kern w:val="0"/>
          <w:sz w:val="21"/>
          <w:szCs w:val="21"/>
          <w:highlight w:val="none"/>
          <w:lang w:eastAsia="en-US"/>
        </w:rPr>
        <w:t>施工方投标书所报的人工、材、机械价格、取费费率并参考投标条件编制综合单价及分析，经监理、甲方及审计部门审定后作为结算依据。</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6.4 付款方式</w:t>
      </w:r>
    </w:p>
    <w:p>
      <w:pPr>
        <w:keepNext w:val="0"/>
        <w:keepLines w:val="0"/>
        <w:pageBreakBefore w:val="0"/>
        <w:widowControl w:val="0"/>
        <w:kinsoku/>
        <w:wordWrap/>
        <w:overflowPunct/>
        <w:topLinePunct w:val="0"/>
        <w:autoSpaceDE/>
        <w:autoSpaceDN/>
        <w:bidi w:val="0"/>
        <w:spacing w:after="0" w:line="400" w:lineRule="exact"/>
        <w:ind w:firstLine="422" w:firstLineChars="200"/>
        <w:jc w:val="both"/>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工程完工项目验收合格后，决</w:t>
      </w:r>
      <w:r>
        <w:rPr>
          <w:rFonts w:hint="eastAsia" w:ascii="宋体" w:hAnsi="宋体" w:eastAsia="宋体" w:cs="宋体"/>
          <w:b/>
          <w:color w:val="000000"/>
          <w:kern w:val="0"/>
          <w:sz w:val="21"/>
          <w:szCs w:val="21"/>
          <w:highlight w:val="none"/>
          <w:lang w:val="en-US" w:eastAsia="zh-CN" w:bidi="ar-SA"/>
        </w:rPr>
        <w:t>算审计结束，按要求开具发票，甲方收到发票后30日内付至审定价的97%，余款在质保期二年后无息付清。</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6.5 工程竣工验收后，乙方提出工程结算并将有关资料送交甲方。</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6.6每次付款前，乙方必须提交符合国家财税规定的正规发票，甲方见票付款。</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6.7工程施工过程中所有需要在合同价外另行增加费用的内容均须事先征得甲方的书面同意并提供预算书待甲方、监理、审计部门确认后方可实施，否则不予结算。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6.8所有涉及工程结算的签证单上必须有甲方代表、审计部门、乙方（项目组）三方的签字和盖章，方可作为竣工结算的依据，签证单上必须明确签证的原因、位置、尺寸、数量、材料、人工、机械台班、价格和签证时间等，如有必要，还需附有综合单价分析。</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6.9结算要求：乙方在施工过程中，对需要办理现场签证的工作量，应及时通知甲方、审计办理工程量签证。签证应工程施工完成后7日内将签证签认完毕，逾期上报或未上报甲方的，视为乙方放弃该项签证权益，结算时不再计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6.10由于乙方原因造成的投标报价的漏报、错报，均视作对甲方做出的优惠让利，结算时不作调整。</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第7条  关于材料供应的约定</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7.1 凡由乙方采购的材料、设备，如不符合质量要求或规格差异，应禁止使用。若已使用，对工程造成的损失由乙方负责。</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7.2材料、设备进场前应接受甲方组织的验收，不合格材料及与封样不符的材料标识后，三天内运出场外。场内严禁堆放不合格材料和不符材料，过期不处理的不合格材料和不符材料，甲方有权自行处理，由此造成乙方异议或损失的，甲方不予赔偿。</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第8条  有关安全生产和防火的约定</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8.1  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8.2  乙方在施工期间应严格遵守《建设工程安全生产管理条例》、《建筑施工安全检查标准》、《中华人民共和国消防法》和其他相关的法规、规范。</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8.3  由于甲方确认的图纸或作法说明，违反有关安全操作规程、消防法和防火设计规范，导致发生安全或火灾事故，甲方应承担由此产生的一切经济损失。</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8.4  由于乙方在施工生产过程中违反有关安全操作规程、消防法，导致发生安全或火灾事故，乙方应承担由此引发的一切经济损失。</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第9条  奖励和违约责任</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9.1 由于乙方原因，逾期竣工，每逾期一天，甲方对乙方处以</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元/天罚款。甲方要求提前竣工，每提前一天，无奖励。</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9.2  乙方应妥善保护甲方提供的设备及现场堆放的家具、陈设和工程成品，如造成损失，应按价赔偿。</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9.3  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9.4  因一方原因，合同无法继续履行时，应通知对方，办理合同终止协议，并由责任方赔偿对方由此造成的经济损失。</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9.</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en-US"/>
        </w:rPr>
        <w:t>甲方要求乙方的竣工工程质量必须符合</w:t>
      </w:r>
      <w:r>
        <w:rPr>
          <w:rFonts w:hint="eastAsia" w:ascii="宋体" w:hAnsi="宋体" w:eastAsia="宋体" w:cs="宋体"/>
          <w:kern w:val="0"/>
          <w:sz w:val="21"/>
          <w:szCs w:val="21"/>
          <w:highlight w:val="none"/>
          <w:u w:val="single"/>
          <w:lang w:eastAsia="en-US"/>
        </w:rPr>
        <w:t xml:space="preserve">              </w:t>
      </w:r>
      <w:r>
        <w:rPr>
          <w:rFonts w:hint="eastAsia" w:ascii="宋体" w:hAnsi="宋体" w:eastAsia="宋体" w:cs="宋体"/>
          <w:kern w:val="0"/>
          <w:sz w:val="21"/>
          <w:szCs w:val="21"/>
          <w:highlight w:val="none"/>
          <w:lang w:eastAsia="en-US"/>
        </w:rPr>
        <w:t>。如果乙方因自身原因未能达到该质量等级，甲方将按合同价的</w:t>
      </w:r>
      <w:r>
        <w:rPr>
          <w:rFonts w:hint="eastAsia" w:ascii="宋体" w:hAnsi="宋体" w:eastAsia="宋体" w:cs="宋体"/>
          <w:kern w:val="0"/>
          <w:sz w:val="21"/>
          <w:szCs w:val="21"/>
          <w:highlight w:val="none"/>
          <w:u w:val="single"/>
          <w:lang w:eastAsia="en-US"/>
        </w:rPr>
        <w:t>1%</w:t>
      </w:r>
      <w:r>
        <w:rPr>
          <w:rFonts w:hint="eastAsia" w:ascii="宋体" w:hAnsi="宋体" w:eastAsia="宋体" w:cs="宋体"/>
          <w:kern w:val="0"/>
          <w:sz w:val="21"/>
          <w:szCs w:val="21"/>
          <w:highlight w:val="none"/>
          <w:lang w:eastAsia="en-US"/>
        </w:rPr>
        <w:t>对乙方进行处罚。同时，乙方必须负责整改到位，直至符合要求为止，并承担相由此产生的所有费用，同时，赔偿甲方因此造成的损失，赔偿金额双方协商。若乙方无力整改到位，甲方有权指定其他单位负责整改，由此产生的费用由乙方承担。</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第10条  争议的解决方式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10.1 因履行本合同引起的或与本合同有关的争议，甲、乙双方应首先通过友好协商解决，如果协商不能解决争议，则采取以下第</w:t>
      </w:r>
      <w:r>
        <w:rPr>
          <w:rFonts w:hint="eastAsia" w:ascii="宋体" w:hAnsi="宋体" w:eastAsia="宋体" w:cs="宋体"/>
          <w:kern w:val="0"/>
          <w:sz w:val="21"/>
          <w:szCs w:val="21"/>
          <w:highlight w:val="none"/>
          <w:u w:val="single"/>
          <w:lang w:eastAsia="en-US"/>
        </w:rPr>
        <w:t>（1）</w:t>
      </w:r>
      <w:r>
        <w:rPr>
          <w:rFonts w:hint="eastAsia" w:ascii="宋体" w:hAnsi="宋体" w:eastAsia="宋体" w:cs="宋体"/>
          <w:kern w:val="0"/>
          <w:sz w:val="21"/>
          <w:szCs w:val="21"/>
          <w:highlight w:val="none"/>
          <w:lang w:eastAsia="en-US"/>
        </w:rPr>
        <w:t>种方式解决争议：</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（1）向工程所在地人民法院提起诉讼；</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（2）向工程所在地仲裁委员会按其仲裁规则申请仲裁。</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10.2 在法院审理和仲裁期间，除有争议部分外，本合同其他部分应继续履行。</w:t>
      </w:r>
    </w:p>
    <w:p>
      <w:pPr>
        <w:keepNext w:val="0"/>
        <w:keepLines w:val="0"/>
        <w:pageBreakBefore w:val="0"/>
        <w:widowControl w:val="0"/>
        <w:kinsoku/>
        <w:wordWrap/>
        <w:overflowPunct/>
        <w:topLinePunct w:val="0"/>
        <w:autoSpaceDE/>
        <w:autoSpaceDN/>
        <w:bidi w:val="0"/>
        <w:snapToGrid/>
        <w:spacing w:after="0" w:line="40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10.3 本合同载明的地址作为各方的通知、文件资料、法律文书、司法文书的送达地址，若一方变更地址的应及时书面通知其他各方。</w:t>
      </w:r>
    </w:p>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第11条  其它约定:</w:t>
      </w:r>
      <w:r>
        <w:rPr>
          <w:rFonts w:hint="eastAsia" w:ascii="宋体" w:hAnsi="宋体" w:eastAsia="宋体" w:cs="宋体"/>
          <w:kern w:val="2"/>
          <w:sz w:val="21"/>
          <w:szCs w:val="21"/>
          <w:highlight w:val="none"/>
          <w:u w:val="single"/>
          <w:lang w:val="en-US" w:eastAsia="zh-CN" w:bidi="ar-SA"/>
        </w:rPr>
        <w:t xml:space="preserve"> ①工程结算审计工作由审计部门进行全过程审计；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其他未尽事宜详见招标、投标文件。</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第12条  附则</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  本工程保修期详见附件，自工程验收合格之日起计算。保修方法参照国家及地方相关规定执行。</w:t>
      </w:r>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12.2  </w:t>
      </w:r>
      <w:bookmarkStart w:id="7" w:name="OLE_LINK21"/>
      <w:r>
        <w:rPr>
          <w:rFonts w:hint="eastAsia" w:ascii="宋体" w:hAnsi="宋体" w:eastAsia="宋体" w:cs="宋体"/>
          <w:kern w:val="2"/>
          <w:sz w:val="21"/>
          <w:szCs w:val="21"/>
          <w:highlight w:val="none"/>
          <w:lang w:val="en-US" w:eastAsia="zh-CN" w:bidi="ar-SA"/>
        </w:rPr>
        <w:t>本合同一式</w:t>
      </w:r>
      <w:r>
        <w:rPr>
          <w:rFonts w:hint="eastAsia" w:ascii="宋体" w:hAnsi="宋体" w:eastAsia="宋体" w:cs="宋体"/>
          <w:kern w:val="2"/>
          <w:sz w:val="21"/>
          <w:szCs w:val="21"/>
          <w:highlight w:val="none"/>
          <w:u w:val="single"/>
          <w:lang w:val="en-US" w:eastAsia="zh-CN" w:bidi="ar-SA"/>
        </w:rPr>
        <w:t xml:space="preserve"> 伍 </w:t>
      </w:r>
      <w:r>
        <w:rPr>
          <w:rFonts w:hint="eastAsia" w:ascii="宋体" w:hAnsi="宋体" w:eastAsia="宋体" w:cs="宋体"/>
          <w:kern w:val="2"/>
          <w:sz w:val="21"/>
          <w:szCs w:val="21"/>
          <w:highlight w:val="none"/>
          <w:lang w:val="en-US" w:eastAsia="zh-CN" w:bidi="ar-SA"/>
        </w:rPr>
        <w:t>份，自甲乙双方签字盖章后生效，甲乙双方各执</w:t>
      </w:r>
      <w:r>
        <w:rPr>
          <w:rFonts w:hint="eastAsia" w:ascii="宋体" w:hAnsi="宋体" w:eastAsia="宋体" w:cs="宋体"/>
          <w:kern w:val="2"/>
          <w:sz w:val="21"/>
          <w:szCs w:val="21"/>
          <w:highlight w:val="none"/>
          <w:u w:val="single"/>
          <w:lang w:val="en-US" w:eastAsia="zh-CN" w:bidi="ar-SA"/>
        </w:rPr>
        <w:t>贰</w:t>
      </w:r>
      <w:r>
        <w:rPr>
          <w:rFonts w:hint="eastAsia" w:ascii="宋体" w:hAnsi="宋体" w:eastAsia="宋体" w:cs="宋体"/>
          <w:kern w:val="2"/>
          <w:sz w:val="21"/>
          <w:szCs w:val="21"/>
          <w:highlight w:val="none"/>
          <w:lang w:val="en-US" w:eastAsia="zh-CN" w:bidi="ar-SA"/>
        </w:rPr>
        <w:t>份，代理机构执</w:t>
      </w:r>
      <w:r>
        <w:rPr>
          <w:rFonts w:hint="eastAsia" w:ascii="宋体" w:hAnsi="宋体" w:eastAsia="宋体" w:cs="宋体"/>
          <w:kern w:val="2"/>
          <w:sz w:val="21"/>
          <w:szCs w:val="21"/>
          <w:highlight w:val="none"/>
          <w:u w:val="single"/>
          <w:lang w:val="en-US" w:eastAsia="zh-CN" w:bidi="ar-SA"/>
        </w:rPr>
        <w:t>壹</w:t>
      </w:r>
      <w:r>
        <w:rPr>
          <w:rFonts w:hint="eastAsia" w:ascii="宋体" w:hAnsi="宋体" w:eastAsia="宋体" w:cs="宋体"/>
          <w:kern w:val="2"/>
          <w:sz w:val="21"/>
          <w:szCs w:val="21"/>
          <w:highlight w:val="none"/>
          <w:lang w:val="en-US" w:eastAsia="zh-CN" w:bidi="ar-SA"/>
        </w:rPr>
        <w:t>份。</w:t>
      </w:r>
      <w:bookmarkEnd w:id="7"/>
    </w:p>
    <w:p>
      <w:pPr>
        <w:keepNext w:val="0"/>
        <w:keepLines w:val="0"/>
        <w:pageBreakBefore w:val="0"/>
        <w:widowControl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12.3  本合同履行完成后自动终止。</w:t>
      </w:r>
    </w:p>
    <w:p>
      <w:pPr>
        <w:rPr>
          <w:rFonts w:hint="eastAsia" w:ascii="宋体" w:hAnsi="宋体" w:eastAsia="宋体" w:cs="宋体"/>
          <w:kern w:val="0"/>
          <w:sz w:val="21"/>
          <w:szCs w:val="21"/>
          <w:highlight w:val="none"/>
          <w:lang w:eastAsia="en-US"/>
        </w:rPr>
      </w:pPr>
    </w:p>
    <w:p>
      <w:pPr>
        <w:jc w:val="left"/>
        <w:rPr>
          <w:rFonts w:hint="eastAsia" w:ascii="宋体" w:hAnsi="宋体" w:eastAsia="宋体" w:cs="宋体"/>
          <w:kern w:val="0"/>
          <w:sz w:val="21"/>
          <w:szCs w:val="21"/>
          <w:highlight w:val="none"/>
          <w:lang w:eastAsia="en-US"/>
        </w:rPr>
      </w:pPr>
      <w:r>
        <w:rPr>
          <w:rFonts w:hint="eastAsia" w:ascii="宋体" w:hAnsi="宋体" w:eastAsia="宋体" w:cs="宋体"/>
          <w:b/>
          <w:kern w:val="0"/>
          <w:sz w:val="21"/>
          <w:szCs w:val="21"/>
          <w:highlight w:val="none"/>
          <w:lang w:eastAsia="en-US"/>
        </w:rPr>
        <w:t>甲    方</w:t>
      </w:r>
      <w:r>
        <w:rPr>
          <w:rFonts w:hint="eastAsia" w:ascii="宋体" w:hAnsi="宋体" w:eastAsia="宋体" w:cs="宋体"/>
          <w:kern w:val="0"/>
          <w:sz w:val="21"/>
          <w:szCs w:val="21"/>
          <w:highlight w:val="none"/>
          <w:lang w:eastAsia="en-US"/>
        </w:rPr>
        <w:t xml:space="preserve">：                                </w:t>
      </w:r>
      <w:r>
        <w:rPr>
          <w:rFonts w:hint="eastAsia" w:ascii="宋体" w:hAnsi="宋体" w:eastAsia="宋体" w:cs="宋体"/>
          <w:b/>
          <w:kern w:val="0"/>
          <w:sz w:val="21"/>
          <w:szCs w:val="21"/>
          <w:highlight w:val="none"/>
          <w:lang w:eastAsia="en-US"/>
        </w:rPr>
        <w:t>乙    方</w:t>
      </w:r>
      <w:r>
        <w:rPr>
          <w:rFonts w:hint="eastAsia" w:ascii="宋体" w:hAnsi="宋体" w:eastAsia="宋体" w:cs="宋体"/>
          <w:kern w:val="0"/>
          <w:sz w:val="21"/>
          <w:szCs w:val="21"/>
          <w:highlight w:val="none"/>
          <w:lang w:eastAsia="en-US"/>
        </w:rPr>
        <w:t>：</w:t>
      </w:r>
    </w:p>
    <w:p>
      <w:pPr>
        <w:rPr>
          <w:rFonts w:hint="eastAsia" w:ascii="宋体" w:hAnsi="宋体" w:eastAsia="宋体" w:cs="宋体"/>
          <w:kern w:val="0"/>
          <w:sz w:val="21"/>
          <w:szCs w:val="21"/>
          <w:highlight w:val="none"/>
          <w:u w:val="single"/>
          <w:lang w:eastAsia="en-US"/>
        </w:rPr>
      </w:pPr>
      <w:r>
        <w:rPr>
          <w:rFonts w:hint="eastAsia" w:ascii="宋体" w:hAnsi="宋体" w:eastAsia="宋体" w:cs="宋体"/>
          <w:kern w:val="0"/>
          <w:sz w:val="21"/>
          <w:szCs w:val="21"/>
          <w:highlight w:val="none"/>
          <w:lang w:eastAsia="en-US"/>
        </w:rPr>
        <w:t>单位名称（章）：                          单位名称（章）：</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 xml:space="preserve">法定代表人：                              法定代表人：    </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经办人：                                  经办人：</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 xml:space="preserve">电话：                                    电话： </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传真：                                    传真：</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开户银行：                                开户银行：</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zh-CN"/>
        </w:rPr>
        <w:t>账</w:t>
      </w:r>
      <w:r>
        <w:rPr>
          <w:rFonts w:hint="eastAsia" w:ascii="宋体" w:hAnsi="宋体" w:eastAsia="宋体" w:cs="宋体"/>
          <w:kern w:val="0"/>
          <w:sz w:val="21"/>
          <w:szCs w:val="21"/>
          <w:highlight w:val="none"/>
          <w:lang w:eastAsia="en-US"/>
        </w:rPr>
        <w:t xml:space="preserve">号：                                    </w:t>
      </w:r>
      <w:r>
        <w:rPr>
          <w:rFonts w:hint="eastAsia" w:ascii="宋体" w:hAnsi="宋体" w:eastAsia="宋体" w:cs="宋体"/>
          <w:kern w:val="0"/>
          <w:sz w:val="21"/>
          <w:szCs w:val="21"/>
          <w:highlight w:val="none"/>
          <w:lang w:eastAsia="zh-CN"/>
        </w:rPr>
        <w:t>账</w:t>
      </w:r>
      <w:r>
        <w:rPr>
          <w:rFonts w:hint="eastAsia" w:ascii="宋体" w:hAnsi="宋体" w:eastAsia="宋体" w:cs="宋体"/>
          <w:kern w:val="0"/>
          <w:sz w:val="21"/>
          <w:szCs w:val="21"/>
          <w:highlight w:val="none"/>
          <w:lang w:eastAsia="en-US"/>
        </w:rPr>
        <w:t xml:space="preserve">号：                                                                                 </w:t>
      </w:r>
    </w:p>
    <w:p>
      <w:pPr>
        <w:rPr>
          <w:rFonts w:hint="eastAsia" w:ascii="宋体" w:hAnsi="宋体" w:eastAsia="宋体" w:cs="宋体"/>
          <w:b/>
          <w:kern w:val="0"/>
          <w:sz w:val="21"/>
          <w:szCs w:val="21"/>
          <w:highlight w:val="none"/>
          <w:lang w:eastAsia="en-US"/>
        </w:rPr>
      </w:pPr>
    </w:p>
    <w:p>
      <w:pPr>
        <w:rPr>
          <w:rFonts w:hint="eastAsia" w:ascii="宋体" w:hAnsi="宋体" w:eastAsia="宋体" w:cs="宋体"/>
          <w:b/>
          <w:kern w:val="0"/>
          <w:sz w:val="21"/>
          <w:szCs w:val="21"/>
          <w:highlight w:val="none"/>
          <w:lang w:eastAsia="en-US"/>
        </w:rPr>
      </w:pPr>
    </w:p>
    <w:p>
      <w:pPr>
        <w:rPr>
          <w:rFonts w:hint="eastAsia" w:ascii="宋体" w:hAnsi="宋体" w:eastAsia="宋体" w:cs="宋体"/>
          <w:b/>
          <w:kern w:val="0"/>
          <w:sz w:val="21"/>
          <w:szCs w:val="21"/>
          <w:highlight w:val="none"/>
          <w:lang w:eastAsia="en-US"/>
        </w:rPr>
      </w:pPr>
    </w:p>
    <w:p>
      <w:pP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val="en-US" w:eastAsia="zh-CN"/>
        </w:rPr>
        <w:t>见证</w:t>
      </w:r>
      <w:r>
        <w:rPr>
          <w:rFonts w:hint="eastAsia" w:ascii="宋体" w:hAnsi="宋体" w:eastAsia="宋体" w:cs="宋体"/>
          <w:b/>
          <w:kern w:val="0"/>
          <w:sz w:val="21"/>
          <w:szCs w:val="21"/>
          <w:highlight w:val="none"/>
          <w:lang w:eastAsia="en-US"/>
        </w:rPr>
        <w:t>机构：</w:t>
      </w:r>
    </w:p>
    <w:p>
      <w:pPr>
        <w:tabs>
          <w:tab w:val="left" w:pos="3780"/>
        </w:tabs>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单位名称（章）：</w:t>
      </w:r>
      <w:r>
        <w:rPr>
          <w:rFonts w:hint="eastAsia" w:ascii="宋体" w:hAnsi="宋体" w:eastAsia="宋体" w:cs="宋体"/>
          <w:kern w:val="0"/>
          <w:sz w:val="21"/>
          <w:szCs w:val="21"/>
          <w:highlight w:val="none"/>
          <w:u w:val="single"/>
          <w:lang w:eastAsia="en-US"/>
        </w:rPr>
        <w:t xml:space="preserve">常州青枫招标有限公司 </w:t>
      </w:r>
      <w:r>
        <w:rPr>
          <w:rFonts w:hint="eastAsia" w:ascii="宋体" w:hAnsi="宋体" w:eastAsia="宋体" w:cs="宋体"/>
          <w:kern w:val="0"/>
          <w:sz w:val="21"/>
          <w:szCs w:val="21"/>
          <w:highlight w:val="none"/>
          <w:lang w:eastAsia="en-US"/>
        </w:rPr>
        <w:t xml:space="preserve">    </w:t>
      </w:r>
    </w:p>
    <w:p>
      <w:pPr>
        <w:tabs>
          <w:tab w:val="left" w:pos="3780"/>
        </w:tabs>
        <w:rPr>
          <w:rFonts w:hint="eastAsia" w:ascii="宋体" w:hAnsi="宋体" w:eastAsia="宋体" w:cs="宋体"/>
          <w:kern w:val="0"/>
          <w:sz w:val="21"/>
          <w:szCs w:val="21"/>
          <w:highlight w:val="none"/>
          <w:u w:val="single"/>
          <w:lang w:eastAsia="en-US"/>
        </w:rPr>
      </w:pPr>
      <w:r>
        <w:rPr>
          <w:rFonts w:hint="eastAsia" w:ascii="宋体" w:hAnsi="宋体" w:eastAsia="宋体" w:cs="宋体"/>
          <w:kern w:val="0"/>
          <w:sz w:val="21"/>
          <w:szCs w:val="21"/>
          <w:highlight w:val="none"/>
          <w:lang w:eastAsia="en-US"/>
        </w:rPr>
        <w:t>单位地址：</w:t>
      </w:r>
      <w:r>
        <w:rPr>
          <w:rFonts w:hint="eastAsia" w:ascii="宋体" w:hAnsi="宋体" w:eastAsia="宋体" w:cs="宋体"/>
          <w:kern w:val="0"/>
          <w:sz w:val="21"/>
          <w:szCs w:val="21"/>
          <w:highlight w:val="none"/>
          <w:u w:val="single"/>
          <w:lang w:eastAsia="en-US"/>
        </w:rPr>
        <w:t>常州市钟楼区博济新博智汇谷</w:t>
      </w:r>
      <w:r>
        <w:rPr>
          <w:rFonts w:hint="eastAsia" w:ascii="宋体" w:hAnsi="宋体" w:eastAsia="宋体" w:cs="宋体"/>
          <w:kern w:val="0"/>
          <w:sz w:val="21"/>
          <w:szCs w:val="21"/>
          <w:highlight w:val="none"/>
          <w:u w:val="single"/>
          <w:lang w:val="en-US" w:eastAsia="zh-CN"/>
        </w:rPr>
        <w:t>5</w:t>
      </w:r>
      <w:r>
        <w:rPr>
          <w:rFonts w:hint="eastAsia" w:ascii="宋体" w:hAnsi="宋体" w:eastAsia="宋体" w:cs="宋体"/>
          <w:kern w:val="0"/>
          <w:sz w:val="21"/>
          <w:szCs w:val="21"/>
          <w:highlight w:val="none"/>
          <w:u w:val="single"/>
          <w:lang w:eastAsia="en-US"/>
        </w:rPr>
        <w:t>栋20</w:t>
      </w:r>
      <w:r>
        <w:rPr>
          <w:rFonts w:hint="eastAsia" w:ascii="宋体" w:hAnsi="宋体" w:eastAsia="宋体" w:cs="宋体"/>
          <w:kern w:val="0"/>
          <w:sz w:val="21"/>
          <w:szCs w:val="21"/>
          <w:highlight w:val="none"/>
          <w:u w:val="single"/>
          <w:lang w:val="en-US" w:eastAsia="zh-CN"/>
        </w:rPr>
        <w:t>2</w:t>
      </w:r>
      <w:r>
        <w:rPr>
          <w:rFonts w:hint="eastAsia" w:ascii="宋体" w:hAnsi="宋体" w:eastAsia="宋体" w:cs="宋体"/>
          <w:kern w:val="0"/>
          <w:sz w:val="21"/>
          <w:szCs w:val="21"/>
          <w:highlight w:val="none"/>
          <w:u w:val="single"/>
          <w:lang w:eastAsia="en-US"/>
        </w:rPr>
        <w:t>室（运河路198号）</w:t>
      </w:r>
    </w:p>
    <w:p>
      <w:pP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 xml:space="preserve">经办人：                               </w:t>
      </w:r>
      <w:r>
        <w:rPr>
          <w:rFonts w:hint="eastAsia" w:ascii="宋体" w:hAnsi="宋体" w:eastAsia="宋体" w:cs="宋体"/>
          <w:kern w:val="0"/>
          <w:sz w:val="21"/>
          <w:szCs w:val="21"/>
          <w:highlight w:val="none"/>
          <w:lang w:eastAsia="zh-CN"/>
        </w:rPr>
        <w:t>见证</w:t>
      </w:r>
      <w:r>
        <w:rPr>
          <w:rFonts w:hint="eastAsia" w:ascii="宋体" w:hAnsi="宋体" w:eastAsia="宋体" w:cs="宋体"/>
          <w:kern w:val="0"/>
          <w:sz w:val="21"/>
          <w:szCs w:val="21"/>
          <w:highlight w:val="none"/>
          <w:lang w:eastAsia="en-US"/>
        </w:rPr>
        <w:t>时间：         年      月     日</w:t>
      </w:r>
    </w:p>
    <w:p>
      <w:pPr>
        <w:widowControl w:val="0"/>
        <w:ind w:firstLine="420"/>
        <w:jc w:val="both"/>
        <w:rPr>
          <w:rFonts w:hint="eastAsia" w:ascii="宋体" w:hAnsi="宋体" w:eastAsia="宋体" w:cs="宋体"/>
          <w:sz w:val="21"/>
          <w:szCs w:val="21"/>
          <w:highlight w:val="none"/>
          <w:lang w:val="en-US" w:eastAsia="en-US" w:bidi="ar-SA"/>
        </w:rPr>
      </w:pPr>
    </w:p>
    <w:p>
      <w:pPr>
        <w:rPr>
          <w:rFonts w:hint="eastAsia" w:ascii="宋体" w:hAnsi="宋体" w:eastAsia="宋体" w:cs="宋体"/>
          <w:kern w:val="0"/>
          <w:sz w:val="21"/>
          <w:szCs w:val="21"/>
          <w:highlight w:val="none"/>
          <w:lang w:eastAsia="en-US"/>
        </w:rPr>
      </w:pPr>
    </w:p>
    <w:p>
      <w:pPr>
        <w:widowControl w:val="0"/>
        <w:ind w:firstLine="420"/>
        <w:jc w:val="both"/>
        <w:rPr>
          <w:rFonts w:hint="eastAsia" w:ascii="宋体" w:hAnsi="宋体" w:eastAsia="宋体" w:cs="宋体"/>
          <w:sz w:val="21"/>
          <w:szCs w:val="21"/>
          <w:highlight w:val="none"/>
          <w:lang w:val="en-US" w:eastAsia="en-US" w:bidi="ar-SA"/>
        </w:rPr>
      </w:pPr>
    </w:p>
    <w:p>
      <w:pPr>
        <w:rPr>
          <w:rFonts w:hint="eastAsia" w:ascii="宋体" w:hAnsi="宋体" w:eastAsia="宋体" w:cs="宋体"/>
          <w:kern w:val="0"/>
          <w:sz w:val="21"/>
          <w:szCs w:val="21"/>
          <w:highlight w:val="none"/>
          <w:lang w:eastAsia="en-US"/>
        </w:rPr>
      </w:pPr>
    </w:p>
    <w:p>
      <w:pPr>
        <w:rPr>
          <w:rFonts w:hint="eastAsia" w:ascii="宋体" w:hAnsi="宋体" w:eastAsia="宋体" w:cs="宋体"/>
          <w:kern w:val="0"/>
          <w:sz w:val="21"/>
          <w:szCs w:val="21"/>
          <w:highlight w:val="none"/>
          <w:lang w:eastAsia="en-US"/>
        </w:rPr>
      </w:pPr>
    </w:p>
    <w:p>
      <w:pPr>
        <w:jc w:val="center"/>
        <w:rPr>
          <w:rFonts w:hint="eastAsia" w:ascii="宋体" w:hAnsi="宋体" w:eastAsia="宋体" w:cs="宋体"/>
          <w:b/>
          <w:bCs/>
          <w:kern w:val="0"/>
          <w:sz w:val="28"/>
          <w:szCs w:val="28"/>
          <w:highlight w:val="none"/>
          <w:lang w:eastAsia="en-US" w:bidi="ar"/>
        </w:rPr>
      </w:pPr>
    </w:p>
    <w:p>
      <w:pPr>
        <w:pStyle w:val="10"/>
        <w:rPr>
          <w:rFonts w:hint="eastAsia" w:ascii="宋体" w:hAnsi="宋体" w:eastAsia="宋体" w:cs="宋体"/>
          <w:b/>
          <w:bCs/>
          <w:kern w:val="0"/>
          <w:sz w:val="28"/>
          <w:szCs w:val="28"/>
          <w:highlight w:val="none"/>
          <w:lang w:bidi="ar"/>
        </w:rPr>
      </w:pPr>
    </w:p>
    <w:p>
      <w:pPr>
        <w:rPr>
          <w:rFonts w:hint="eastAsia" w:ascii="宋体" w:hAnsi="宋体" w:eastAsia="宋体" w:cs="宋体"/>
          <w:b/>
          <w:bCs/>
          <w:kern w:val="0"/>
          <w:sz w:val="28"/>
          <w:szCs w:val="28"/>
          <w:highlight w:val="none"/>
          <w:lang w:eastAsia="en-US" w:bidi="ar"/>
        </w:rPr>
      </w:pPr>
    </w:p>
    <w:p>
      <w:pPr>
        <w:pStyle w:val="2"/>
        <w:rPr>
          <w:rFonts w:hint="eastAsia"/>
          <w:highlight w:val="none"/>
          <w:lang w:eastAsia="en-US"/>
        </w:rPr>
      </w:pPr>
    </w:p>
    <w:p>
      <w:pPr>
        <w:spacing w:before="120" w:beforeLines="50" w:after="120" w:afterLines="50" w:line="360" w:lineRule="auto"/>
        <w:jc w:val="center"/>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工程质量保修书</w:t>
      </w:r>
    </w:p>
    <w:p>
      <w:pPr>
        <w:spacing w:line="360" w:lineRule="auto"/>
        <w:rPr>
          <w:rFonts w:hint="eastAsia" w:ascii="宋体" w:hAnsi="宋体" w:eastAsia="宋体" w:cs="宋体"/>
          <w:kern w:val="2"/>
          <w:sz w:val="21"/>
          <w:szCs w:val="21"/>
          <w:highlight w:val="none"/>
          <w:u w:val="single"/>
          <w:lang w:eastAsia="zh-CN"/>
        </w:rPr>
      </w:pPr>
      <w:r>
        <w:rPr>
          <w:rFonts w:hint="eastAsia" w:ascii="宋体" w:hAnsi="宋体" w:eastAsia="宋体" w:cs="宋体"/>
          <w:b/>
          <w:kern w:val="2"/>
          <w:sz w:val="21"/>
          <w:szCs w:val="21"/>
          <w:highlight w:val="none"/>
          <w:lang w:eastAsia="zh-CN"/>
        </w:rPr>
        <w:t>发包人（全称）：</w:t>
      </w:r>
    </w:p>
    <w:p>
      <w:pPr>
        <w:spacing w:line="360" w:lineRule="auto"/>
        <w:rPr>
          <w:rFonts w:hint="eastAsia" w:ascii="宋体" w:hAnsi="宋体" w:eastAsia="宋体" w:cs="宋体"/>
          <w:b/>
          <w:kern w:val="2"/>
          <w:sz w:val="21"/>
          <w:szCs w:val="21"/>
          <w:highlight w:val="none"/>
          <w:u w:val="single"/>
          <w:lang w:eastAsia="zh-CN"/>
        </w:rPr>
      </w:pPr>
      <w:r>
        <w:rPr>
          <w:rFonts w:hint="eastAsia" w:ascii="宋体" w:hAnsi="宋体" w:eastAsia="宋体" w:cs="宋体"/>
          <w:b/>
          <w:kern w:val="2"/>
          <w:sz w:val="21"/>
          <w:szCs w:val="21"/>
          <w:highlight w:val="none"/>
          <w:lang w:eastAsia="zh-CN"/>
        </w:rPr>
        <w:t>承包人（全称）：</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发包人和承包人根据《中华人民共和国建筑法》和《建设工程质量管理条例》，经协商一致就</w:t>
      </w:r>
      <w:r>
        <w:rPr>
          <w:rFonts w:hint="eastAsia" w:ascii="宋体" w:hAnsi="宋体" w:eastAsia="宋体" w:cs="宋体"/>
          <w:kern w:val="2"/>
          <w:sz w:val="21"/>
          <w:szCs w:val="21"/>
          <w:highlight w:val="none"/>
          <w:u w:val="single"/>
          <w:lang w:eastAsia="zh-CN"/>
        </w:rPr>
        <w:t xml:space="preserve">          工程</w:t>
      </w:r>
      <w:r>
        <w:rPr>
          <w:rFonts w:hint="eastAsia" w:ascii="宋体" w:hAnsi="宋体" w:eastAsia="宋体" w:cs="宋体"/>
          <w:kern w:val="2"/>
          <w:sz w:val="21"/>
          <w:szCs w:val="21"/>
          <w:highlight w:val="none"/>
          <w:lang w:eastAsia="zh-CN"/>
        </w:rPr>
        <w:t>（工程全称）签订工程质量保修书。</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一、工程质量保修范围和内容</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承包人在质量保修期内，按照有关法律规定和合同约定，承担工程质量保修责任。</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w:t>
      </w:r>
      <w:r>
        <w:rPr>
          <w:rFonts w:hint="eastAsia" w:ascii="宋体" w:hAnsi="宋体" w:eastAsia="宋体" w:cs="宋体"/>
          <w:kern w:val="2"/>
          <w:sz w:val="21"/>
          <w:szCs w:val="21"/>
          <w:highlight w:val="none"/>
          <w:u w:val="single"/>
          <w:lang w:eastAsia="zh-CN"/>
        </w:rPr>
        <w:t>按合同承包范围内容</w:t>
      </w:r>
      <w:r>
        <w:rPr>
          <w:rFonts w:hint="eastAsia" w:ascii="宋体" w:hAnsi="宋体" w:eastAsia="宋体" w:cs="宋体"/>
          <w:kern w:val="2"/>
          <w:sz w:val="21"/>
          <w:szCs w:val="21"/>
          <w:highlight w:val="none"/>
          <w:lang w:eastAsia="zh-CN"/>
        </w:rPr>
        <w:t>。</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b/>
          <w:kern w:val="2"/>
          <w:sz w:val="21"/>
          <w:szCs w:val="21"/>
          <w:highlight w:val="none"/>
          <w:lang w:eastAsia="zh-CN"/>
        </w:rPr>
        <w:t>　　</w:t>
      </w:r>
      <w:r>
        <w:rPr>
          <w:rFonts w:hint="eastAsia" w:ascii="宋体" w:hAnsi="宋体" w:eastAsia="宋体" w:cs="宋体"/>
          <w:kern w:val="2"/>
          <w:sz w:val="21"/>
          <w:szCs w:val="21"/>
          <w:highlight w:val="none"/>
          <w:lang w:eastAsia="zh-CN"/>
        </w:rPr>
        <w:t>二、质量保修期</w:t>
      </w:r>
    </w:p>
    <w:p>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根据《建设工程质量管理条例》及有关规定，工程的质量保修期如下：</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1．地基基础工程和主体结构工程为设计文件规定的工程合理使用年限；</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2．屋面防水工程、有防水要求的卫生间、房间和外墙面的防渗为</w:t>
      </w:r>
      <w:r>
        <w:rPr>
          <w:rFonts w:hint="eastAsia" w:ascii="宋体" w:hAnsi="宋体" w:eastAsia="宋体" w:cs="宋体"/>
          <w:kern w:val="2"/>
          <w:sz w:val="21"/>
          <w:szCs w:val="21"/>
          <w:highlight w:val="none"/>
          <w:u w:val="single"/>
          <w:lang w:eastAsia="zh-CN"/>
        </w:rPr>
        <w:t xml:space="preserve"> 伍</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3．装修工程为</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4．电气管线、给排水管道、设备安装工程为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5．供热与供冷系统为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个采暖期、供冷期；</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6．住宅小区内的给排水设施、道路等配套工程为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spacing w:line="360" w:lineRule="auto"/>
        <w:ind w:firstLine="630" w:firstLineChars="3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7．其他项目保修期限约定如下：</w:t>
      </w:r>
    </w:p>
    <w:p>
      <w:pPr>
        <w:spacing w:line="360" w:lineRule="auto"/>
        <w:ind w:firstLine="840" w:firstLineChars="4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u w:val="single"/>
          <w:lang w:eastAsia="zh-CN"/>
        </w:rPr>
        <w:t>按《建设工程质量管理条例》的规定</w:t>
      </w:r>
      <w:r>
        <w:rPr>
          <w:rFonts w:hint="eastAsia" w:ascii="宋体" w:hAnsi="宋体" w:eastAsia="宋体" w:cs="宋体"/>
          <w:kern w:val="2"/>
          <w:sz w:val="21"/>
          <w:szCs w:val="21"/>
          <w:highlight w:val="none"/>
          <w:lang w:eastAsia="zh-CN"/>
        </w:rPr>
        <w:t>。</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质量保修期自工程竣工验收合格之日起计算。</w:t>
      </w:r>
    </w:p>
    <w:p>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三、缺陷责任期</w:t>
      </w:r>
    </w:p>
    <w:p>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工程缺陷责任期为</w:t>
      </w:r>
      <w:r>
        <w:rPr>
          <w:rFonts w:hint="eastAsia" w:ascii="宋体" w:hAnsi="宋体" w:eastAsia="宋体" w:cs="宋体"/>
          <w:kern w:val="2"/>
          <w:sz w:val="21"/>
          <w:szCs w:val="21"/>
          <w:highlight w:val="none"/>
          <w:u w:val="single"/>
          <w:lang w:eastAsia="zh-CN"/>
        </w:rPr>
        <w:t>24</w:t>
      </w:r>
      <w:r>
        <w:rPr>
          <w:rFonts w:hint="eastAsia" w:ascii="宋体" w:hAnsi="宋体" w:eastAsia="宋体" w:cs="宋体"/>
          <w:kern w:val="2"/>
          <w:sz w:val="21"/>
          <w:szCs w:val="21"/>
          <w:highlight w:val="none"/>
          <w:lang w:eastAsia="zh-CN"/>
        </w:rPr>
        <w:t>个月，缺陷责任期自工程实际竣工之日起计算。单位工程先于全部工程进行验收，单位工程缺陷责任期自单位工程验收合格之日起算。</w:t>
      </w:r>
    </w:p>
    <w:p>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缺陷责任期终止后，发包人应退还剩余的质量保证金。</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xml:space="preserve">    四、质量保修责任</w:t>
      </w:r>
    </w:p>
    <w:p>
      <w:pPr>
        <w:spacing w:line="360" w:lineRule="auto"/>
        <w:ind w:left="105" w:leftChars="50" w:firstLine="430" w:firstLineChars="205"/>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2．发生紧急事故需抢修的，承包人在接到事故通知后，应当立即到达事故现场抢修。</w:t>
      </w:r>
    </w:p>
    <w:p>
      <w:pPr>
        <w:spacing w:line="360" w:lineRule="auto"/>
        <w:ind w:left="105" w:leftChars="50" w:firstLine="430" w:firstLineChars="205"/>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4．质量保修完成后，由发包人组织验收。</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五、保修费用</w:t>
      </w:r>
    </w:p>
    <w:p>
      <w:pPr>
        <w:spacing w:line="360" w:lineRule="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保修费用由造成质量缺陷的责任方承担。</w:t>
      </w:r>
    </w:p>
    <w:p>
      <w:pPr>
        <w:spacing w:line="360" w:lineRule="auto"/>
        <w:ind w:firstLine="422" w:firstLineChars="200"/>
        <w:rPr>
          <w:rFonts w:hint="eastAsia" w:ascii="宋体" w:hAnsi="宋体" w:eastAsia="宋体" w:cs="宋体"/>
          <w:kern w:val="2"/>
          <w:sz w:val="21"/>
          <w:szCs w:val="21"/>
          <w:highlight w:val="none"/>
          <w:u w:val="single"/>
          <w:lang w:eastAsia="zh-CN"/>
        </w:rPr>
      </w:pPr>
      <w:r>
        <w:rPr>
          <w:rFonts w:hint="eastAsia" w:ascii="宋体" w:hAnsi="宋体" w:eastAsia="宋体" w:cs="宋体"/>
          <w:b/>
          <w:kern w:val="2"/>
          <w:sz w:val="21"/>
          <w:szCs w:val="21"/>
          <w:highlight w:val="none"/>
          <w:lang w:eastAsia="zh-CN"/>
        </w:rPr>
        <w:t>六</w:t>
      </w:r>
      <w:r>
        <w:rPr>
          <w:rFonts w:hint="eastAsia" w:ascii="宋体" w:hAnsi="宋体" w:eastAsia="宋体" w:cs="宋体"/>
          <w:kern w:val="2"/>
          <w:sz w:val="21"/>
          <w:szCs w:val="21"/>
          <w:highlight w:val="none"/>
          <w:lang w:eastAsia="zh-CN"/>
        </w:rPr>
        <w:t>、双方约定的其他工程质量保修事项：</w:t>
      </w:r>
      <w:r>
        <w:rPr>
          <w:rFonts w:hint="eastAsia" w:ascii="宋体" w:hAnsi="宋体" w:eastAsia="宋体" w:cs="宋体"/>
          <w:kern w:val="2"/>
          <w:sz w:val="21"/>
          <w:szCs w:val="21"/>
          <w:highlight w:val="none"/>
          <w:u w:val="single"/>
          <w:lang w:eastAsia="zh-CN"/>
        </w:rPr>
        <w:t>质量保修金为竣工审定价的3%，发包人在工程竣工验收合格二年后</w:t>
      </w:r>
      <w:r>
        <w:rPr>
          <w:rFonts w:hint="eastAsia" w:ascii="宋体" w:hAnsi="宋体" w:eastAsia="宋体" w:cs="宋体"/>
          <w:kern w:val="2"/>
          <w:sz w:val="21"/>
          <w:szCs w:val="21"/>
          <w:highlight w:val="none"/>
          <w:u w:val="single"/>
          <w:lang w:val="en-US" w:eastAsia="zh-CN"/>
        </w:rPr>
        <w:t>3</w:t>
      </w:r>
      <w:r>
        <w:rPr>
          <w:rFonts w:hint="eastAsia" w:ascii="宋体" w:hAnsi="宋体" w:eastAsia="宋体" w:cs="宋体"/>
          <w:kern w:val="2"/>
          <w:sz w:val="21"/>
          <w:szCs w:val="21"/>
          <w:highlight w:val="none"/>
          <w:u w:val="single"/>
          <w:lang w:eastAsia="zh-CN"/>
        </w:rPr>
        <w:t>0日内付清质量保修金（无息）。</w:t>
      </w:r>
    </w:p>
    <w:p>
      <w:pPr>
        <w:spacing w:line="360" w:lineRule="auto"/>
        <w:ind w:firstLine="399" w:firstLineChars="19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kern w:val="2"/>
          <w:sz w:val="21"/>
          <w:szCs w:val="21"/>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4550"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发包人（公章）：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住所：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法定代表人：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c>
          <w:tcPr>
            <w:tcW w:w="4422"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承包人（公章）：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住所：</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法定代表人：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r>
    </w:tbl>
    <w:p>
      <w:pPr>
        <w:keepNext w:val="0"/>
        <w:keepLines w:val="0"/>
        <w:widowControl w:val="0"/>
        <w:suppressLineNumbers w:val="0"/>
        <w:spacing w:before="0" w:beforeAutospacing="0" w:after="160" w:afterAutospacing="0" w:line="540" w:lineRule="exact"/>
        <w:ind w:left="0" w:right="0"/>
        <w:jc w:val="both"/>
        <w:rPr>
          <w:rFonts w:hint="eastAsia" w:ascii="宋体" w:hAnsi="宋体" w:eastAsia="宋体" w:cs="宋体"/>
          <w:b/>
          <w:bCs w:val="0"/>
          <w:color w:val="000000"/>
          <w:kern w:val="2"/>
          <w:sz w:val="21"/>
          <w:szCs w:val="21"/>
          <w:highlight w:val="none"/>
          <w:lang w:val="en-US" w:eastAsia="zh-CN" w:bidi="ar"/>
        </w:rPr>
      </w:pPr>
    </w:p>
    <w:p>
      <w:pPr>
        <w:keepNext w:val="0"/>
        <w:keepLines w:val="0"/>
        <w:widowControl w:val="0"/>
        <w:suppressLineNumbers w:val="0"/>
        <w:spacing w:before="0" w:beforeAutospacing="0" w:after="160" w:afterAutospacing="0" w:line="540" w:lineRule="exact"/>
        <w:ind w:left="0" w:right="0"/>
        <w:jc w:val="both"/>
        <w:rPr>
          <w:rFonts w:hint="eastAsia" w:ascii="宋体" w:hAnsi="宋体" w:eastAsia="宋体" w:cs="宋体"/>
          <w:b/>
          <w:bCs w:val="0"/>
          <w:color w:val="000000"/>
          <w:kern w:val="2"/>
          <w:sz w:val="21"/>
          <w:szCs w:val="21"/>
          <w:highlight w:val="none"/>
          <w:lang w:val="en-US" w:eastAsia="zh-CN" w:bidi="ar"/>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val="0"/>
          <w:sz w:val="21"/>
          <w:highlight w:val="none"/>
          <w:lang w:val="en-US" w:eastAsia="zh-CN"/>
        </w:rPr>
      </w:pPr>
    </w:p>
    <w:p>
      <w:pPr>
        <w:keepNext w:val="0"/>
        <w:keepLines w:val="0"/>
        <w:widowControl w:val="0"/>
        <w:suppressLineNumbers w:val="0"/>
        <w:spacing w:before="0" w:beforeAutospacing="0" w:after="0" w:afterAutospacing="0"/>
        <w:ind w:left="424" w:leftChars="202" w:right="0" w:firstLine="480"/>
        <w:jc w:val="both"/>
        <w:rPr>
          <w:highlight w:val="none"/>
        </w:rPr>
      </w:pPr>
      <w:r>
        <w:rPr>
          <w:rFonts w:hint="default" w:ascii="Times New Roman" w:hAnsi="Times New Roman" w:eastAsia="宋体" w:cs="Times New Roman"/>
          <w:kern w:val="2"/>
          <w:sz w:val="21"/>
          <w:szCs w:val="21"/>
          <w:highlight w:val="none"/>
          <w:lang w:val="en-US" w:eastAsia="zh-CN" w:bidi="ar"/>
        </w:rPr>
        <w:br w:type="page"/>
      </w:r>
    </w:p>
    <w:p>
      <w:pPr>
        <w:tabs>
          <w:tab w:val="left" w:pos="8190"/>
        </w:tabs>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第五章   评标细则</w:t>
      </w:r>
    </w:p>
    <w:p>
      <w:pPr>
        <w:pStyle w:val="62"/>
        <w:keepNext w:val="0"/>
        <w:keepLines w:val="0"/>
        <w:pageBreakBefore w:val="0"/>
        <w:widowControl w:val="0"/>
        <w:kinsoku/>
        <w:wordWrap/>
        <w:overflowPunct/>
        <w:topLinePunct w:val="0"/>
        <w:bidi w:val="0"/>
        <w:spacing w:line="560" w:lineRule="exact"/>
        <w:jc w:val="both"/>
        <w:textAlignment w:val="auto"/>
        <w:rPr>
          <w:sz w:val="23"/>
          <w:szCs w:val="23"/>
          <w:highlight w:val="none"/>
        </w:rPr>
      </w:pPr>
      <w:r>
        <w:rPr>
          <w:rFonts w:hint="eastAsia" w:ascii="Calibri" w:eastAsia="Calibri" w:cs="Times New Roman"/>
          <w:b/>
          <w:kern w:val="2"/>
          <w:sz w:val="21"/>
          <w:szCs w:val="21"/>
          <w:highlight w:val="none"/>
        </w:rPr>
        <w:t>一、评标办法</w:t>
      </w:r>
      <w:r>
        <w:rPr>
          <w:rFonts w:hint="eastAsia" w:eastAsia="Calibri"/>
          <w:b/>
          <w:sz w:val="21"/>
          <w:szCs w:val="21"/>
          <w:highlight w:val="none"/>
        </w:rPr>
        <w:t>：</w:t>
      </w:r>
      <w:r>
        <w:rPr>
          <w:rFonts w:hint="eastAsia" w:ascii="Calibri" w:eastAsia="Calibri" w:cs="Times New Roman"/>
          <w:b/>
          <w:kern w:val="2"/>
          <w:sz w:val="21"/>
          <w:szCs w:val="21"/>
          <w:highlight w:val="none"/>
        </w:rPr>
        <w:t>（</w:t>
      </w:r>
      <w:r>
        <w:rPr>
          <w:rFonts w:hint="eastAsia" w:ascii="Calibri" w:eastAsia="Calibri" w:cs="Times New Roman"/>
          <w:b/>
          <w:kern w:val="2"/>
          <w:sz w:val="21"/>
          <w:szCs w:val="21"/>
          <w:highlight w:val="none"/>
          <w:lang w:val="zh-CN"/>
        </w:rPr>
        <w:t>最低评标价法</w:t>
      </w:r>
      <w:r>
        <w:rPr>
          <w:rFonts w:hint="eastAsia" w:ascii="Calibri" w:eastAsia="Calibri" w:cs="Times New Roman"/>
          <w:b/>
          <w:kern w:val="2"/>
          <w:sz w:val="21"/>
          <w:szCs w:val="21"/>
          <w:highlight w:val="none"/>
        </w:rPr>
        <w:t>）</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color w:val="0D0D0D"/>
          <w:szCs w:val="22"/>
          <w:highlight w:val="none"/>
          <w:lang w:val="en-US" w:eastAsia="zh-CN"/>
        </w:rPr>
        <w:t>2、</w:t>
      </w:r>
      <w:r>
        <w:rPr>
          <w:rFonts w:hint="eastAsia" w:ascii="宋体" w:hAnsi="宋体" w:cs="宋体"/>
          <w:color w:val="0D0D0D"/>
          <w:szCs w:val="22"/>
          <w:highlight w:val="none"/>
        </w:rPr>
        <w:t>报价货币为人民币，</w:t>
      </w:r>
      <w:r>
        <w:rPr>
          <w:rFonts w:hint="eastAsia" w:ascii="宋体" w:hAnsi="宋体" w:cs="宋体"/>
          <w:color w:val="0D0D0D"/>
          <w:szCs w:val="22"/>
          <w:highlight w:val="none"/>
          <w:lang w:val="en-US" w:eastAsia="zh-CN"/>
        </w:rPr>
        <w:t>谈判</w:t>
      </w:r>
      <w:r>
        <w:rPr>
          <w:rFonts w:hint="eastAsia" w:ascii="宋体" w:hAnsi="宋体" w:cs="宋体"/>
          <w:color w:val="0D0D0D"/>
          <w:szCs w:val="22"/>
          <w:highlight w:val="none"/>
        </w:rPr>
        <w:t>时以人民币为准。</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b/>
          <w:bCs/>
          <w:color w:val="0D0D0D"/>
          <w:szCs w:val="22"/>
          <w:highlight w:val="none"/>
        </w:rPr>
        <w:t>3、</w:t>
      </w:r>
      <w:r>
        <w:rPr>
          <w:rFonts w:hint="eastAsia" w:ascii="宋体" w:hAnsi="宋体" w:cs="宋体"/>
          <w:b/>
          <w:color w:val="0D0D0D"/>
          <w:szCs w:val="22"/>
          <w:highlight w:val="none"/>
        </w:rPr>
        <w:t>本项目的项目预算/最高限价为</w:t>
      </w:r>
      <w:r>
        <w:rPr>
          <w:rFonts w:hint="eastAsia" w:ascii="宋体" w:hAnsi="宋体" w:cs="宋体"/>
          <w:b/>
          <w:color w:val="0D0D0D"/>
          <w:szCs w:val="22"/>
          <w:highlight w:val="none"/>
          <w:u w:val="single"/>
          <w:lang w:val="en-US" w:eastAsia="zh-CN"/>
        </w:rPr>
        <w:t>人民币贰拾柒万柒仟零肆拾贰元捌角（¥277042.80）</w:t>
      </w:r>
      <w:r>
        <w:rPr>
          <w:rFonts w:hint="eastAsia" w:ascii="宋体" w:hAnsi="宋体" w:cs="宋体"/>
          <w:szCs w:val="22"/>
          <w:highlight w:val="none"/>
        </w:rPr>
        <w:t>，</w:t>
      </w:r>
      <w:r>
        <w:rPr>
          <w:rFonts w:hint="eastAsia" w:ascii="宋体" w:hAnsi="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cs="宋体"/>
          <w:b/>
          <w:sz w:val="21"/>
          <w:szCs w:val="21"/>
          <w:highlight w:val="none"/>
          <w:lang w:val="en-US" w:eastAsia="zh-CN"/>
        </w:rPr>
        <w:t>、</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cs="宋体"/>
          <w:szCs w:val="22"/>
          <w:highlight w:val="none"/>
        </w:rPr>
        <w:t>，</w:t>
      </w:r>
      <w:r>
        <w:rPr>
          <w:rFonts w:hint="eastAsia" w:ascii="宋体" w:hAnsi="宋体" w:cs="宋体"/>
          <w:color w:val="0D0D0D"/>
          <w:szCs w:val="22"/>
          <w:highlight w:val="none"/>
        </w:rPr>
        <w:t>否则作为无效响应。</w:t>
      </w:r>
    </w:p>
    <w:p>
      <w:pPr>
        <w:keepNext w:val="0"/>
        <w:keepLines w:val="0"/>
        <w:pageBreakBefore w:val="0"/>
        <w:widowControl w:val="0"/>
        <w:kinsoku/>
        <w:wordWrap/>
        <w:overflowPunct/>
        <w:topLinePunct w:val="0"/>
        <w:bidi w:val="0"/>
        <w:spacing w:line="560" w:lineRule="exact"/>
        <w:ind w:firstLine="420"/>
        <w:textAlignment w:val="auto"/>
        <w:rPr>
          <w:rFonts w:hint="default" w:ascii="宋体" w:hAnsi="宋体" w:eastAsia="宋体" w:cs="宋体"/>
          <w:color w:val="0D0D0D"/>
          <w:szCs w:val="22"/>
          <w:highlight w:val="none"/>
          <w:lang w:val="en-US" w:eastAsia="zh-CN"/>
        </w:rPr>
      </w:pPr>
      <w:r>
        <w:rPr>
          <w:rFonts w:hint="eastAsia" w:ascii="宋体" w:hAnsi="宋体" w:cs="宋体"/>
          <w:color w:val="0D0D0D"/>
          <w:szCs w:val="22"/>
          <w:highlight w:val="none"/>
        </w:rPr>
        <w:t>4、报价次数：本项目采用二次及以上报价，开标现场的最终报价作为供应商参加此次谈判的最终报价。</w:t>
      </w:r>
      <w:r>
        <w:rPr>
          <w:rFonts w:hint="eastAsia" w:ascii="宋体" w:hAnsi="宋体" w:cs="宋体"/>
          <w:color w:val="0D0D0D"/>
          <w:szCs w:val="22"/>
          <w:highlight w:val="none"/>
          <w:lang w:val="en-US" w:eastAsia="zh-CN"/>
        </w:rPr>
        <w:t>综合单价以二次报价下浮后的单价作为合同附件。</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snapToGrid w:val="0"/>
          <w:color w:val="000000"/>
          <w:szCs w:val="24"/>
          <w:highlight w:val="none"/>
        </w:rPr>
      </w:pPr>
      <w:r>
        <w:rPr>
          <w:rFonts w:hint="eastAsia" w:ascii="宋体" w:hAnsi="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pPr>
        <w:keepNext w:val="0"/>
        <w:keepLines w:val="0"/>
        <w:pageBreakBefore w:val="0"/>
        <w:widowControl w:val="0"/>
        <w:kinsoku/>
        <w:wordWrap/>
        <w:overflowPunct/>
        <w:topLinePunct w:val="0"/>
        <w:bidi w:val="0"/>
        <w:spacing w:line="560" w:lineRule="exact"/>
        <w:textAlignment w:val="auto"/>
        <w:rPr>
          <w:rFonts w:hint="eastAsia" w:eastAsia="宋体"/>
          <w:highlight w:val="none"/>
          <w:lang w:eastAsia="zh-CN"/>
        </w:rPr>
      </w:pPr>
      <w:r>
        <w:rPr>
          <w:rFonts w:hint="eastAsia" w:ascii="宋体" w:hAnsi="宋体"/>
          <w:b/>
          <w:snapToGrid w:val="0"/>
          <w:color w:val="000000"/>
          <w:szCs w:val="24"/>
          <w:highlight w:val="none"/>
        </w:rPr>
        <w:t>二、定标办法：经评标委员会确定报价最低的</w:t>
      </w:r>
      <w:r>
        <w:rPr>
          <w:rFonts w:hint="eastAsia" w:ascii="宋体" w:hAnsi="宋体"/>
          <w:b/>
          <w:snapToGrid w:val="0"/>
          <w:color w:val="000000"/>
          <w:szCs w:val="24"/>
          <w:highlight w:val="none"/>
          <w:lang w:eastAsia="zh-CN"/>
        </w:rPr>
        <w:t>供应商</w:t>
      </w:r>
      <w:r>
        <w:rPr>
          <w:rFonts w:hint="eastAsia" w:ascii="宋体" w:hAnsi="宋体"/>
          <w:b/>
          <w:snapToGrid w:val="0"/>
          <w:color w:val="000000"/>
          <w:szCs w:val="24"/>
          <w:highlight w:val="none"/>
        </w:rPr>
        <w:t>为成交供应商</w:t>
      </w:r>
      <w:r>
        <w:rPr>
          <w:rFonts w:hint="eastAsia" w:ascii="宋体" w:hAnsi="宋体"/>
          <w:b/>
          <w:snapToGrid w:val="0"/>
          <w:color w:val="000000"/>
          <w:szCs w:val="24"/>
          <w:highlight w:val="none"/>
          <w:lang w:eastAsia="zh-CN"/>
        </w:rPr>
        <w:t>。</w:t>
      </w:r>
      <w:r>
        <w:rPr>
          <w:rFonts w:hint="eastAsia" w:ascii="宋体" w:hAnsi="宋体"/>
          <w:b/>
          <w:snapToGrid w:val="0"/>
          <w:color w:val="000000"/>
          <w:szCs w:val="24"/>
          <w:highlight w:val="none"/>
          <w:lang w:val="en-US" w:eastAsia="zh-CN"/>
        </w:rPr>
        <w:t>最后</w:t>
      </w:r>
      <w:r>
        <w:rPr>
          <w:rFonts w:hint="eastAsia" w:ascii="宋体" w:hAnsi="宋体"/>
          <w:b/>
          <w:snapToGrid w:val="0"/>
          <w:color w:val="000000"/>
          <w:szCs w:val="24"/>
          <w:highlight w:val="none"/>
          <w:lang w:eastAsia="zh-CN"/>
        </w:rPr>
        <w:t>报价相同</w:t>
      </w:r>
      <w:r>
        <w:rPr>
          <w:rFonts w:hint="eastAsia" w:ascii="宋体" w:hAnsi="宋体"/>
          <w:b/>
          <w:snapToGrid w:val="0"/>
          <w:color w:val="000000"/>
          <w:szCs w:val="24"/>
          <w:highlight w:val="none"/>
          <w:lang w:val="en-US" w:eastAsia="zh-CN"/>
        </w:rPr>
        <w:t>时</w:t>
      </w:r>
      <w:r>
        <w:rPr>
          <w:rFonts w:hint="eastAsia" w:ascii="宋体" w:hAnsi="宋体"/>
          <w:b/>
          <w:snapToGrid w:val="0"/>
          <w:color w:val="000000"/>
          <w:szCs w:val="24"/>
          <w:highlight w:val="none"/>
          <w:lang w:eastAsia="zh-CN"/>
        </w:rPr>
        <w:t>，则由</w:t>
      </w:r>
      <w:r>
        <w:rPr>
          <w:rFonts w:hint="eastAsia" w:ascii="宋体" w:hAnsi="宋体"/>
          <w:b/>
          <w:snapToGrid w:val="0"/>
          <w:color w:val="000000"/>
          <w:szCs w:val="24"/>
          <w:highlight w:val="none"/>
          <w:lang w:val="en-US" w:eastAsia="zh-CN"/>
        </w:rPr>
        <w:t>采购人</w:t>
      </w:r>
      <w:r>
        <w:rPr>
          <w:rFonts w:hint="eastAsia" w:ascii="宋体" w:hAnsi="宋体"/>
          <w:b/>
          <w:snapToGrid w:val="0"/>
          <w:color w:val="000000"/>
          <w:szCs w:val="24"/>
          <w:highlight w:val="none"/>
          <w:lang w:eastAsia="zh-CN"/>
        </w:rPr>
        <w:t>抽签确定成交供应商。</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rPr>
          <w:highlight w:val="none"/>
        </w:rPr>
      </w:pPr>
    </w:p>
    <w:p>
      <w:pPr>
        <w:rPr>
          <w:highlight w:val="none"/>
        </w:rPr>
      </w:pPr>
    </w:p>
    <w:p>
      <w:pPr>
        <w:pStyle w:val="2"/>
        <w:rPr>
          <w:highlight w:val="none"/>
        </w:rPr>
      </w:pPr>
    </w:p>
    <w:p>
      <w:pPr>
        <w:pStyle w:val="2"/>
        <w:rPr>
          <w:highlight w:val="none"/>
        </w:rPr>
      </w:pPr>
    </w:p>
    <w:p>
      <w:pPr>
        <w:jc w:val="center"/>
        <w:rPr>
          <w:rFonts w:ascii="宋体" w:hAnsi="宋体" w:cs="宋体"/>
          <w:b/>
          <w:sz w:val="30"/>
          <w:szCs w:val="30"/>
          <w:highlight w:val="none"/>
        </w:rPr>
      </w:pPr>
      <w:r>
        <w:rPr>
          <w:rFonts w:hint="eastAsia" w:ascii="宋体" w:hAnsi="宋体" w:cs="宋体"/>
          <w:b/>
          <w:sz w:val="30"/>
          <w:szCs w:val="30"/>
          <w:highlight w:val="none"/>
        </w:rPr>
        <w:t>第六章  附    件</w:t>
      </w:r>
      <w:bookmarkEnd w:id="6"/>
    </w:p>
    <w:p>
      <w:pPr>
        <w:pStyle w:val="61"/>
        <w:spacing w:line="360" w:lineRule="exact"/>
        <w:rPr>
          <w:rFonts w:eastAsia="宋体" w:cs="宋体"/>
          <w:b/>
          <w:sz w:val="32"/>
          <w:highlight w:val="none"/>
        </w:rPr>
      </w:pPr>
      <w:bookmarkStart w:id="8" w:name="_Toc8620"/>
      <w:r>
        <w:rPr>
          <w:rFonts w:hint="eastAsia" w:eastAsia="宋体" w:cs="宋体"/>
          <w:b/>
          <w:sz w:val="28"/>
          <w:szCs w:val="28"/>
          <w:highlight w:val="none"/>
        </w:rPr>
        <w:t>附件1：响应函</w:t>
      </w:r>
      <w:bookmarkEnd w:id="8"/>
    </w:p>
    <w:p>
      <w:pPr>
        <w:pStyle w:val="71"/>
        <w:spacing w:line="360" w:lineRule="exact"/>
        <w:jc w:val="center"/>
        <w:rPr>
          <w:rFonts w:cs="宋体"/>
          <w:sz w:val="21"/>
          <w:szCs w:val="21"/>
          <w:highlight w:val="none"/>
          <w:u w:val="single"/>
        </w:rPr>
      </w:pPr>
      <w:r>
        <w:rPr>
          <w:rFonts w:hint="eastAsia" w:cs="宋体"/>
          <w:b/>
          <w:sz w:val="28"/>
          <w:szCs w:val="28"/>
          <w:highlight w:val="none"/>
        </w:rPr>
        <w:t>响  应  函</w:t>
      </w:r>
    </w:p>
    <w:p>
      <w:pPr>
        <w:pStyle w:val="70"/>
        <w:keepNext w:val="0"/>
        <w:keepLines w:val="0"/>
        <w:pageBreakBefore w:val="0"/>
        <w:widowControl w:val="0"/>
        <w:kinsoku/>
        <w:wordWrap/>
        <w:overflowPunct/>
        <w:topLinePunct w:val="0"/>
        <w:autoSpaceDE/>
        <w:autoSpaceDN/>
        <w:bidi w:val="0"/>
        <w:snapToGrid/>
        <w:spacing w:line="440" w:lineRule="atLeast"/>
        <w:rPr>
          <w:rFonts w:eastAsia="宋体" w:cs="宋体"/>
          <w:sz w:val="21"/>
          <w:szCs w:val="21"/>
          <w:highlight w:val="none"/>
        </w:rPr>
      </w:pPr>
      <w:r>
        <w:rPr>
          <w:rFonts w:hint="eastAsia" w:eastAsia="宋体" w:cs="宋体"/>
          <w:b/>
          <w:bCs/>
          <w:sz w:val="21"/>
          <w:szCs w:val="21"/>
          <w:highlight w:val="none"/>
        </w:rPr>
        <w:t>致：</w:t>
      </w:r>
      <w:r>
        <w:rPr>
          <w:rFonts w:hint="eastAsia" w:eastAsia="宋体" w:cs="宋体"/>
          <w:b/>
          <w:bCs/>
          <w:sz w:val="21"/>
          <w:szCs w:val="21"/>
          <w:highlight w:val="none"/>
          <w:u w:val="single"/>
          <w:lang w:eastAsia="zh-CN"/>
        </w:rPr>
        <w:t>常州市紫云小学</w:t>
      </w:r>
      <w:r>
        <w:rPr>
          <w:rFonts w:hint="eastAsia" w:eastAsia="宋体" w:cs="宋体"/>
          <w:b/>
          <w:bCs/>
          <w:sz w:val="21"/>
          <w:szCs w:val="21"/>
          <w:highlight w:val="none"/>
        </w:rPr>
        <w:t>：</w:t>
      </w:r>
    </w:p>
    <w:p>
      <w:pPr>
        <w:pStyle w:val="70"/>
        <w:keepNext w:val="0"/>
        <w:keepLines w:val="0"/>
        <w:pageBreakBefore w:val="0"/>
        <w:widowControl w:val="0"/>
        <w:kinsoku/>
        <w:wordWrap/>
        <w:overflowPunct/>
        <w:topLinePunct w:val="0"/>
        <w:autoSpaceDE/>
        <w:autoSpaceDN/>
        <w:bidi w:val="0"/>
        <w:snapToGrid/>
        <w:spacing w:line="440" w:lineRule="atLeast"/>
        <w:ind w:firstLine="422" w:firstLineChars="200"/>
        <w:rPr>
          <w:rFonts w:eastAsia="宋体" w:cs="宋体"/>
          <w:sz w:val="21"/>
          <w:szCs w:val="21"/>
          <w:highlight w:val="none"/>
        </w:rPr>
      </w:pPr>
      <w:r>
        <w:rPr>
          <w:rFonts w:hint="eastAsia" w:eastAsia="宋体" w:cs="宋体"/>
          <w:b/>
          <w:bCs/>
          <w:sz w:val="21"/>
          <w:szCs w:val="21"/>
          <w:highlight w:val="none"/>
          <w:u w:val="single"/>
        </w:rPr>
        <w:t>常州青枫招标有限公司</w:t>
      </w:r>
      <w:r>
        <w:rPr>
          <w:rFonts w:hint="eastAsia" w:eastAsia="宋体" w:cs="宋体"/>
          <w:sz w:val="21"/>
          <w:szCs w:val="21"/>
          <w:highlight w:val="none"/>
        </w:rPr>
        <w:t>：</w:t>
      </w:r>
    </w:p>
    <w:p>
      <w:pPr>
        <w:pStyle w:val="70"/>
        <w:keepNext w:val="0"/>
        <w:keepLines w:val="0"/>
        <w:pageBreakBefore w:val="0"/>
        <w:widowControl w:val="0"/>
        <w:kinsoku/>
        <w:wordWrap/>
        <w:overflowPunct/>
        <w:topLinePunct w:val="0"/>
        <w:autoSpaceDE/>
        <w:autoSpaceDN/>
        <w:bidi w:val="0"/>
        <w:snapToGrid/>
        <w:spacing w:line="440" w:lineRule="atLeast"/>
        <w:ind w:firstLine="420"/>
        <w:jc w:val="left"/>
        <w:rPr>
          <w:rFonts w:eastAsia="宋体" w:cs="宋体"/>
          <w:sz w:val="21"/>
          <w:szCs w:val="21"/>
          <w:highlight w:val="none"/>
        </w:rPr>
      </w:pPr>
      <w:r>
        <w:rPr>
          <w:rFonts w:hint="eastAsia" w:eastAsia="宋体" w:cs="宋体"/>
          <w:sz w:val="21"/>
          <w:szCs w:val="21"/>
          <w:highlight w:val="none"/>
        </w:rPr>
        <w:t>我单位收到贵单位“</w:t>
      </w:r>
      <w:r>
        <w:rPr>
          <w:rFonts w:hint="eastAsia" w:eastAsia="宋体" w:cs="宋体"/>
          <w:sz w:val="21"/>
          <w:szCs w:val="21"/>
          <w:highlight w:val="none"/>
          <w:u w:val="single"/>
          <w:lang w:eastAsia="zh-CN"/>
        </w:rPr>
        <w:t>青枫采竞-2023020</w:t>
      </w:r>
      <w:r>
        <w:rPr>
          <w:rFonts w:hint="eastAsia" w:eastAsia="宋体" w:cs="宋体"/>
          <w:sz w:val="21"/>
          <w:szCs w:val="21"/>
          <w:highlight w:val="none"/>
        </w:rPr>
        <w:t>”谈判文件后，经仔细阅读和研究，我们决定参加本项目的谈判活动并投标。为此，我方郑重声明以下诸点，并负法律责任。</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1.我单位愿意遵守贵单位有关采购的各项规定，提供谈判文件中要求的所有资料，并保证完全真实准确，若有虚假和违背，我单位愿意承担由此而产生的一切后果。</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2.我单位承诺财务状况良好，依法缴纳税收和社会保障资金，具备履行合同所必需的设备和专业技术能力，参加采购活动前3年内在经营活动中没有重大违法记录。</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3.我单位承诺该谈判响应文件在谈判开始后的全过程中保持有效，不作任何更改和变动。并同意按谈判文件中的规定，本谈判响应文件的有效期限为谈判开始后</w:t>
      </w:r>
      <w:r>
        <w:rPr>
          <w:rFonts w:hint="eastAsia" w:eastAsia="宋体" w:cs="宋体"/>
          <w:sz w:val="21"/>
          <w:szCs w:val="21"/>
          <w:highlight w:val="none"/>
          <w:u w:val="single"/>
          <w:lang w:val="en-US" w:eastAsia="zh-CN"/>
        </w:rPr>
        <w:t>60</w:t>
      </w:r>
      <w:r>
        <w:rPr>
          <w:rFonts w:hint="eastAsia" w:eastAsia="宋体" w:cs="宋体"/>
          <w:sz w:val="21"/>
          <w:szCs w:val="21"/>
          <w:highlight w:val="none"/>
          <w:lang w:val="en-US" w:eastAsia="zh-CN"/>
        </w:rPr>
        <w:t>天。</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4.我单位愿意按谈判文件规定的各项要求，向采购人提供所需服务。</w:t>
      </w:r>
      <w:r>
        <w:rPr>
          <w:rFonts w:hint="eastAsia" w:eastAsia="宋体" w:cs="宋体"/>
          <w:sz w:val="21"/>
          <w:szCs w:val="21"/>
          <w:highlight w:val="none"/>
          <w:lang w:eastAsia="zh-CN"/>
        </w:rPr>
        <w:t>谈判报价</w:t>
      </w:r>
      <w:r>
        <w:rPr>
          <w:rFonts w:hint="eastAsia" w:eastAsia="宋体" w:cs="宋体"/>
          <w:sz w:val="21"/>
          <w:szCs w:val="21"/>
          <w:highlight w:val="none"/>
        </w:rPr>
        <w:t>包括但不限于</w:t>
      </w:r>
      <w:r>
        <w:rPr>
          <w:rFonts w:hint="eastAsia" w:eastAsia="宋体" w:cs="宋体"/>
          <w:sz w:val="21"/>
          <w:szCs w:val="21"/>
          <w:highlight w:val="none"/>
          <w:lang w:eastAsia="zh-CN"/>
        </w:rPr>
        <w:t>谈判文件</w:t>
      </w:r>
      <w:r>
        <w:rPr>
          <w:rFonts w:hint="eastAsia" w:eastAsia="宋体" w:cs="宋体"/>
          <w:sz w:val="21"/>
          <w:szCs w:val="21"/>
          <w:highlight w:val="none"/>
        </w:rPr>
        <w:t>及其基本技术要求范围内相应工程开工前的准备（包括现场踏勘、技术核对等）、技术资料、施工、技术服务、主管单位验收、质保期及维保服务和</w:t>
      </w:r>
      <w:r>
        <w:rPr>
          <w:rFonts w:hint="eastAsia" w:eastAsia="宋体" w:cs="宋体"/>
          <w:sz w:val="21"/>
          <w:szCs w:val="21"/>
          <w:highlight w:val="none"/>
          <w:lang w:eastAsia="zh-CN"/>
        </w:rPr>
        <w:t>谈判文件</w:t>
      </w:r>
      <w:r>
        <w:rPr>
          <w:rFonts w:hint="eastAsia" w:eastAsia="宋体" w:cs="宋体"/>
          <w:sz w:val="21"/>
          <w:szCs w:val="21"/>
          <w:highlight w:val="none"/>
        </w:rPr>
        <w:t>所要求的相关工程等全部费用。</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5.我单位认为贵单位有权决定成交供应商，还认为贵单位有权接受或拒绝所有的供应商。</w:t>
      </w:r>
    </w:p>
    <w:p>
      <w:pPr>
        <w:pStyle w:val="70"/>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6.我单位愿意遵守谈判文件中所列的收费标准，按谈判文件的规定，若我单位成交，我单位愿意在签订合同前按谈判文件的规定支付成交服务费。</w:t>
      </w:r>
    </w:p>
    <w:p>
      <w:pPr>
        <w:keepNext w:val="0"/>
        <w:keepLines w:val="0"/>
        <w:pageBreakBefore w:val="0"/>
        <w:widowControl w:val="0"/>
        <w:kinsoku/>
        <w:wordWrap/>
        <w:overflowPunct/>
        <w:topLinePunct w:val="0"/>
        <w:autoSpaceDE/>
        <w:autoSpaceDN/>
        <w:bidi w:val="0"/>
        <w:snapToGrid/>
        <w:spacing w:line="440" w:lineRule="atLeast"/>
        <w:ind w:firstLine="420" w:firstLineChars="200"/>
        <w:jc w:val="both"/>
        <w:rPr>
          <w:rFonts w:hint="eastAsia" w:ascii="宋体" w:hAnsi="宋体" w:eastAsia="宋体" w:cs="宋体"/>
          <w:color w:val="000000"/>
          <w:kern w:val="2"/>
          <w:sz w:val="21"/>
          <w:highlight w:val="none"/>
          <w:lang w:val="en-US" w:eastAsia="zh-CN" w:bidi="ar-SA"/>
        </w:rPr>
      </w:pPr>
      <w:r>
        <w:rPr>
          <w:rFonts w:hint="eastAsia" w:ascii="宋体" w:hAnsi="宋体" w:eastAsia="宋体" w:cs="宋体"/>
          <w:kern w:val="2"/>
          <w:sz w:val="21"/>
          <w:szCs w:val="21"/>
          <w:highlight w:val="none"/>
          <w:lang w:val="en-US" w:eastAsia="zh-CN" w:bidi="ar-SA"/>
        </w:rPr>
        <w:t>7.如果我单位的</w:t>
      </w:r>
      <w:r>
        <w:rPr>
          <w:rFonts w:hint="eastAsia" w:ascii="宋体" w:hAnsi="宋体" w:cs="宋体"/>
          <w:kern w:val="2"/>
          <w:sz w:val="21"/>
          <w:szCs w:val="21"/>
          <w:highlight w:val="none"/>
          <w:lang w:val="en-US" w:eastAsia="zh-CN" w:bidi="ar-SA"/>
        </w:rPr>
        <w:t>谈判</w:t>
      </w:r>
      <w:r>
        <w:rPr>
          <w:rFonts w:hint="eastAsia" w:ascii="宋体" w:hAnsi="宋体" w:eastAsia="宋体" w:cs="宋体"/>
          <w:kern w:val="2"/>
          <w:sz w:val="21"/>
          <w:szCs w:val="21"/>
          <w:highlight w:val="none"/>
          <w:lang w:val="en-US" w:eastAsia="zh-CN" w:bidi="ar-SA"/>
        </w:rPr>
        <w:t>响应文件被接受，愿按《中华人民共和国民法典》履行自己的全部责任，同时严格履行</w:t>
      </w:r>
      <w:r>
        <w:rPr>
          <w:rFonts w:hint="eastAsia" w:ascii="宋体" w:hAnsi="宋体" w:cs="宋体"/>
          <w:kern w:val="2"/>
          <w:sz w:val="21"/>
          <w:szCs w:val="21"/>
          <w:highlight w:val="none"/>
          <w:lang w:val="en-US" w:eastAsia="zh-CN" w:bidi="ar-SA"/>
        </w:rPr>
        <w:t>谈判文件</w:t>
      </w:r>
      <w:r>
        <w:rPr>
          <w:rFonts w:hint="eastAsia" w:ascii="宋体" w:hAnsi="宋体" w:eastAsia="宋体" w:cs="宋体"/>
          <w:kern w:val="2"/>
          <w:sz w:val="21"/>
          <w:szCs w:val="21"/>
          <w:highlight w:val="none"/>
          <w:lang w:val="en-US" w:eastAsia="zh-CN" w:bidi="ar-SA"/>
        </w:rPr>
        <w:t>中规定的每</w:t>
      </w:r>
      <w:r>
        <w:rPr>
          <w:rFonts w:hint="eastAsia" w:eastAsia="宋体" w:cs="宋体"/>
          <w:sz w:val="21"/>
          <w:szCs w:val="21"/>
          <w:highlight w:val="none"/>
          <w:lang w:val="en-US" w:eastAsia="zh-CN"/>
        </w:rPr>
        <w:t>一项要求，按期、按质、按量履行合同的义务。</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color w:val="000000"/>
          <w:kern w:val="2"/>
          <w:sz w:val="21"/>
          <w:highlight w:val="none"/>
          <w:lang w:val="en-US" w:eastAsia="zh-CN" w:bidi="ar-SA"/>
        </w:rPr>
        <w:t>8.与本投标有关的正式通讯地址为：</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供应商（盖章）：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法定代表人或代理人（签字或盖章）：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地   址：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电   话：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b/>
          <w:sz w:val="28"/>
          <w:szCs w:val="28"/>
          <w:highlight w:val="none"/>
        </w:rPr>
      </w:pPr>
      <w:r>
        <w:rPr>
          <w:rFonts w:hint="eastAsia" w:ascii="宋体" w:hAnsi="宋体" w:cs="宋体"/>
          <w:szCs w:val="21"/>
          <w:highlight w:val="none"/>
        </w:rPr>
        <w:t>日    期：     年    月    日</w:t>
      </w:r>
      <w:bookmarkStart w:id="9" w:name="_Toc18201"/>
    </w:p>
    <w:p>
      <w:pPr>
        <w:pStyle w:val="61"/>
        <w:spacing w:line="360" w:lineRule="exact"/>
        <w:rPr>
          <w:rFonts w:eastAsia="宋体" w:cs="宋体"/>
          <w:b/>
          <w:sz w:val="28"/>
          <w:szCs w:val="28"/>
          <w:highlight w:val="none"/>
        </w:rPr>
      </w:pPr>
      <w:r>
        <w:rPr>
          <w:rFonts w:hint="eastAsia" w:eastAsia="宋体" w:cs="宋体"/>
          <w:b/>
          <w:sz w:val="28"/>
          <w:szCs w:val="28"/>
          <w:highlight w:val="none"/>
        </w:rPr>
        <w:t>附件2：法定代表人资格证明书</w:t>
      </w:r>
    </w:p>
    <w:p>
      <w:pPr>
        <w:rPr>
          <w:rFonts w:ascii="宋体" w:hAnsi="宋体" w:cs="宋体"/>
          <w:highlight w:val="none"/>
        </w:rPr>
      </w:pPr>
    </w:p>
    <w:p>
      <w:pPr>
        <w:spacing w:line="360" w:lineRule="auto"/>
        <w:jc w:val="center"/>
        <w:rPr>
          <w:rFonts w:ascii="宋体" w:hAnsi="宋体" w:cs="宋体"/>
          <w:b/>
          <w:sz w:val="32"/>
          <w:szCs w:val="32"/>
          <w:highlight w:val="none"/>
        </w:rPr>
      </w:pPr>
      <w:bookmarkStart w:id="10" w:name="_Toc18209_WPSOffice_Level1"/>
      <w:r>
        <w:rPr>
          <w:rFonts w:hint="eastAsia" w:ascii="宋体" w:hAnsi="宋体" w:cs="宋体"/>
          <w:b/>
          <w:sz w:val="28"/>
          <w:szCs w:val="28"/>
          <w:highlight w:val="none"/>
        </w:rPr>
        <w:t>法定代表人资格证明书</w:t>
      </w:r>
      <w:bookmarkEnd w:id="10"/>
    </w:p>
    <w:tbl>
      <w:tblPr>
        <w:tblStyle w:val="27"/>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单位名称</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注册地址</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法定代表人姓名</w:t>
            </w:r>
          </w:p>
        </w:tc>
        <w:tc>
          <w:tcPr>
            <w:tcW w:w="176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身份证号</w:t>
            </w:r>
          </w:p>
        </w:tc>
        <w:tc>
          <w:tcPr>
            <w:tcW w:w="348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highlight w:val="none"/>
              </w:rPr>
            </w:pPr>
            <w:r>
              <w:rPr>
                <w:rFonts w:hint="eastAsia" w:ascii="宋体" w:hAnsi="宋体" w:cs="宋体"/>
                <w:szCs w:val="21"/>
                <w:highlight w:val="none"/>
                <w:u w:val="single"/>
              </w:rPr>
              <w:t>（法定代表人姓名）</w:t>
            </w:r>
            <w:r>
              <w:rPr>
                <w:rFonts w:hint="eastAsia" w:ascii="宋体" w:hAnsi="宋体" w:cs="宋体"/>
                <w:szCs w:val="21"/>
                <w:highlight w:val="none"/>
              </w:rPr>
              <w:t>系</w:t>
            </w:r>
            <w:r>
              <w:rPr>
                <w:rFonts w:hint="eastAsia" w:ascii="宋体" w:hAnsi="宋体" w:cs="宋体"/>
                <w:szCs w:val="21"/>
                <w:highlight w:val="none"/>
                <w:u w:val="single"/>
              </w:rPr>
              <w:t xml:space="preserve">  （单位名称）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项目（编号：      ）</w:t>
            </w:r>
            <w:r>
              <w:rPr>
                <w:rFonts w:hint="eastAsia" w:ascii="宋体" w:hAnsi="宋体" w:cs="宋体"/>
                <w:szCs w:val="21"/>
                <w:highlight w:val="none"/>
              </w:rPr>
              <w:t>的工作，签署本项目的响应文件、进行合同谈判、签署合同和处理与之有关的一切事务。</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highlight w:val="none"/>
              </w:rPr>
            </w:pPr>
            <w:r>
              <w:rPr>
                <w:rFonts w:hint="eastAsia" w:ascii="宋体" w:hAnsi="宋体" w:cs="宋体"/>
                <w:szCs w:val="21"/>
                <w:highlight w:val="none"/>
              </w:rPr>
              <w:t>特此证明。</w:t>
            </w:r>
          </w:p>
        </w:tc>
      </w:tr>
    </w:tbl>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供应商（盖章）：</w:t>
      </w:r>
    </w:p>
    <w:p>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r>
        <w:rPr>
          <w:rFonts w:hint="eastAsia" w:ascii="宋体" w:hAnsi="宋体" w:cs="宋体"/>
          <w:szCs w:val="21"/>
          <w:highlight w:val="none"/>
        </w:rPr>
        <w:t>法定代表人身份证复印件：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2" o:spid="_x0000_s1042" o:spt="202" type="#_x0000_t202" style="position:absolute;left:0pt;margin-left:186.75pt;margin-top:20.25pt;height:76.95pt;width:46.95pt;z-index:251664384;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3" o:spid="_x0000_s1043" o:spt="202" type="#_x0000_t202" style="position:absolute;left:0pt;margin-left:186.4pt;margin-top:21.95pt;height:76.95pt;width:46.95pt;visibility:hidden;z-index:251663360;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rPr>
          <w:rFonts w:ascii="宋体" w:hAnsi="宋体" w:cs="宋体"/>
          <w:highlight w:val="none"/>
        </w:rPr>
      </w:pPr>
    </w:p>
    <w:p>
      <w:pPr>
        <w:spacing w:line="400" w:lineRule="exact"/>
        <w:rPr>
          <w:rFonts w:ascii="宋体" w:hAnsi="宋体" w:cs="宋体"/>
          <w:b/>
          <w:sz w:val="24"/>
          <w:szCs w:val="28"/>
          <w:highlight w:val="none"/>
        </w:rPr>
      </w:pPr>
      <w:r>
        <w:rPr>
          <w:rFonts w:hint="eastAsia" w:ascii="宋体" w:hAnsi="宋体" w:cs="宋体"/>
          <w:b/>
          <w:bCs/>
          <w:szCs w:val="21"/>
          <w:highlight w:val="none"/>
        </w:rPr>
        <w:t>注：身份证复印件信息必须清晰可辨，如因清晰度不够引起的一切后果由供应商自行承担。</w:t>
      </w:r>
    </w:p>
    <w:bookmarkEnd w:id="9"/>
    <w:p>
      <w:pPr>
        <w:pageBreakBefore/>
        <w:spacing w:line="360" w:lineRule="auto"/>
        <w:rPr>
          <w:rFonts w:ascii="宋体" w:hAnsi="宋体" w:cs="宋体"/>
          <w:b/>
          <w:sz w:val="28"/>
          <w:highlight w:val="none"/>
        </w:rPr>
      </w:pPr>
      <w:bookmarkStart w:id="11" w:name="_Toc1471_WPSOffice_Level1"/>
      <w:bookmarkStart w:id="12" w:name="_Toc200"/>
      <w:r>
        <w:rPr>
          <w:rFonts w:hint="eastAsia" w:ascii="宋体" w:hAnsi="宋体" w:cs="宋体"/>
          <w:b/>
          <w:sz w:val="28"/>
          <w:highlight w:val="none"/>
        </w:rPr>
        <w:t>附件3：授权委托书</w:t>
      </w:r>
      <w:bookmarkEnd w:id="11"/>
    </w:p>
    <w:p>
      <w:pPr>
        <w:pStyle w:val="71"/>
        <w:spacing w:line="360" w:lineRule="exact"/>
        <w:jc w:val="center"/>
        <w:rPr>
          <w:rFonts w:cs="宋体"/>
          <w:b/>
          <w:sz w:val="32"/>
          <w:highlight w:val="none"/>
        </w:rPr>
      </w:pPr>
      <w:r>
        <w:rPr>
          <w:rFonts w:hint="eastAsia" w:cs="宋体"/>
          <w:b/>
          <w:sz w:val="32"/>
          <w:highlight w:val="none"/>
        </w:rPr>
        <w:t>授权委托书</w:t>
      </w:r>
    </w:p>
    <w:p>
      <w:pPr>
        <w:pStyle w:val="17"/>
        <w:rPr>
          <w:rFonts w:ascii="宋体" w:hAnsi="宋体" w:cs="宋体"/>
          <w:highlight w:val="none"/>
        </w:rPr>
      </w:pPr>
    </w:p>
    <w:p>
      <w:pPr>
        <w:adjustRightInd w:val="0"/>
        <w:snapToGrid w:val="0"/>
        <w:spacing w:line="480" w:lineRule="exact"/>
        <w:ind w:firstLine="451" w:firstLineChars="215"/>
        <w:rPr>
          <w:rFonts w:ascii="宋体" w:hAnsi="宋体" w:cs="宋体"/>
          <w:szCs w:val="21"/>
          <w:highlight w:val="none"/>
        </w:rPr>
      </w:pPr>
      <w:r>
        <w:rPr>
          <w:rFonts w:hint="eastAsia" w:ascii="宋体" w:hAnsi="宋体" w:cs="宋体"/>
          <w:szCs w:val="21"/>
          <w:highlight w:val="none"/>
        </w:rPr>
        <w:t xml:space="preserve">本授权委托书声明：本人 </w:t>
      </w:r>
      <w:r>
        <w:rPr>
          <w:rFonts w:hint="eastAsia" w:ascii="宋体" w:hAnsi="宋体" w:cs="宋体"/>
          <w:szCs w:val="21"/>
          <w:highlight w:val="none"/>
          <w:u w:val="single"/>
        </w:rPr>
        <w:t xml:space="preserve">  （法定代表人姓名）   </w:t>
      </w: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（被授权人的姓名）    </w:t>
      </w:r>
      <w:r>
        <w:rPr>
          <w:rFonts w:hint="eastAsia" w:ascii="宋体" w:hAnsi="宋体" w:cs="宋体"/>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日起签字生效，特此声明。</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被授权人情况如下（必填）：</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；性别：</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；联系电话：</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b/>
          <w:bCs/>
          <w:szCs w:val="21"/>
          <w:highlight w:val="none"/>
        </w:rPr>
        <w:t>被授权人签字</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360" w:lineRule="auto"/>
        <w:rPr>
          <w:rFonts w:ascii="宋体" w:hAnsi="宋体" w:cs="宋体"/>
          <w:sz w:val="24"/>
          <w:szCs w:val="24"/>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供应商（盖章）：</w:t>
      </w:r>
    </w:p>
    <w:p>
      <w:pPr>
        <w:spacing w:line="360" w:lineRule="auto"/>
        <w:ind w:firstLine="4620" w:firstLineChars="2200"/>
        <w:rPr>
          <w:rFonts w:ascii="宋体" w:hAnsi="宋体" w:cs="宋体"/>
          <w:szCs w:val="21"/>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法定代表人签字或盖章：</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被授权人身份证复印件：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0" o:spid="_x0000_s1040" o:spt="202" type="#_x0000_t202" style="position:absolute;left:0pt;margin-left:186.75pt;margin-top:20.25pt;height:76.95pt;width:46.95pt;z-index:251662336;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1" o:spid="_x0000_s1041" o:spt="202" type="#_x0000_t202" style="position:absolute;left:0pt;margin-left:186.4pt;margin-top:21.95pt;height:76.95pt;width:46.95pt;visibility:hidden;z-index:251661312;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spacing w:line="360" w:lineRule="auto"/>
        <w:rPr>
          <w:rFonts w:ascii="宋体" w:hAnsi="宋体" w:cs="宋体"/>
          <w:szCs w:val="21"/>
          <w:highlight w:val="none"/>
        </w:rPr>
      </w:pPr>
      <w:r>
        <w:rPr>
          <w:rFonts w:hint="eastAsia" w:ascii="宋体" w:hAnsi="宋体" w:cs="宋体"/>
          <w:szCs w:val="21"/>
          <w:highlight w:val="none"/>
        </w:rPr>
        <w:t>注：</w:t>
      </w:r>
    </w:p>
    <w:p>
      <w:pPr>
        <w:spacing w:line="360" w:lineRule="auto"/>
        <w:rPr>
          <w:rFonts w:ascii="宋体" w:hAnsi="宋体" w:cs="宋体"/>
          <w:szCs w:val="21"/>
          <w:highlight w:val="none"/>
        </w:rPr>
      </w:pPr>
      <w:r>
        <w:rPr>
          <w:rFonts w:hint="eastAsia" w:ascii="宋体" w:hAnsi="宋体" w:cs="宋体"/>
          <w:szCs w:val="21"/>
          <w:highlight w:val="none"/>
        </w:rPr>
        <w:t>1、法定代表人参加谈判会议时，须携带并按要求提交本人身份证原件。</w:t>
      </w:r>
    </w:p>
    <w:p>
      <w:pPr>
        <w:rPr>
          <w:rFonts w:ascii="宋体" w:hAnsi="宋体" w:cs="宋体"/>
          <w:b/>
          <w:bCs/>
          <w:szCs w:val="21"/>
          <w:highlight w:val="none"/>
        </w:rPr>
      </w:pPr>
      <w:r>
        <w:rPr>
          <w:rFonts w:hint="eastAsia" w:ascii="宋体" w:hAnsi="宋体" w:cs="宋体"/>
          <w:b/>
          <w:bCs/>
          <w:szCs w:val="21"/>
          <w:highlight w:val="none"/>
        </w:rPr>
        <w:t>2、被授权人参加谈判会议时，须携带并按要求提交授权委托书和本人身份证原件。</w:t>
      </w:r>
    </w:p>
    <w:p>
      <w:pPr>
        <w:spacing w:line="400" w:lineRule="exact"/>
        <w:rPr>
          <w:rFonts w:ascii="宋体" w:hAnsi="宋体" w:cs="宋体"/>
          <w:b/>
          <w:bCs/>
          <w:szCs w:val="21"/>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r>
        <w:rPr>
          <w:rFonts w:hint="eastAsia" w:ascii="宋体" w:hAnsi="宋体" w:cs="宋体"/>
          <w:b/>
          <w:bCs/>
          <w:szCs w:val="21"/>
          <w:highlight w:val="none"/>
        </w:rPr>
        <w:t>3、身份证复印件信息必须清晰可辨，如因清晰度不够引起的一切后果由供应商自行承担。</w:t>
      </w:r>
    </w:p>
    <w:bookmarkEnd w:id="12"/>
    <w:p>
      <w:pPr>
        <w:spacing w:line="360" w:lineRule="auto"/>
        <w:outlineLvl w:val="0"/>
        <w:rPr>
          <w:rFonts w:ascii="宋体" w:hAnsi="宋体" w:cs="宋体"/>
          <w:b/>
          <w:sz w:val="28"/>
          <w:szCs w:val="22"/>
          <w:highlight w:val="none"/>
        </w:rPr>
      </w:pPr>
      <w:bookmarkStart w:id="13" w:name="_Toc30886"/>
      <w:bookmarkStart w:id="14" w:name="_Toc15814"/>
      <w:bookmarkStart w:id="15" w:name="_Toc19587"/>
      <w:bookmarkStart w:id="16" w:name="_Toc306"/>
      <w:bookmarkStart w:id="17" w:name="_Toc13136"/>
      <w:bookmarkStart w:id="18" w:name="_Toc22536"/>
      <w:bookmarkStart w:id="19" w:name="_Toc9125"/>
      <w:bookmarkStart w:id="20" w:name="_Toc3169"/>
      <w:bookmarkStart w:id="21" w:name="_Toc10980"/>
      <w:r>
        <w:rPr>
          <w:rFonts w:hint="eastAsia" w:ascii="宋体" w:hAnsi="宋体" w:cs="宋体"/>
          <w:b/>
          <w:sz w:val="28"/>
          <w:szCs w:val="22"/>
          <w:highlight w:val="none"/>
        </w:rPr>
        <w:t>附件4：报价一览表</w:t>
      </w:r>
      <w:bookmarkEnd w:id="13"/>
      <w:bookmarkEnd w:id="14"/>
      <w:bookmarkEnd w:id="15"/>
      <w:bookmarkEnd w:id="16"/>
      <w:bookmarkEnd w:id="17"/>
      <w:bookmarkEnd w:id="18"/>
      <w:bookmarkEnd w:id="19"/>
      <w:bookmarkEnd w:id="20"/>
    </w:p>
    <w:p>
      <w:pPr>
        <w:spacing w:line="360" w:lineRule="auto"/>
        <w:jc w:val="center"/>
        <w:rPr>
          <w:highlight w:val="none"/>
        </w:rPr>
      </w:pPr>
      <w:r>
        <w:rPr>
          <w:rFonts w:hint="eastAsia" w:ascii="宋体" w:hAnsi="宋体" w:cs="宋体"/>
          <w:b/>
          <w:sz w:val="28"/>
          <w:szCs w:val="22"/>
          <w:highlight w:val="none"/>
        </w:rPr>
        <w:t>报价一览表</w:t>
      </w:r>
    </w:p>
    <w:tbl>
      <w:tblPr>
        <w:tblStyle w:val="27"/>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项目编号</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项目名称</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pPr>
              <w:pStyle w:val="2"/>
              <w:keepNext w:val="0"/>
              <w:keepLines w:val="0"/>
              <w:suppressLineNumbers w:val="0"/>
              <w:spacing w:before="0" w:beforeAutospacing="0" w:after="0" w:afterAutospacing="0"/>
              <w:ind w:left="0" w:right="0" w:firstLine="0"/>
              <w:jc w:val="center"/>
              <w:rPr>
                <w:rFonts w:hint="default"/>
                <w:szCs w:val="20"/>
                <w:highlight w:val="none"/>
              </w:rPr>
            </w:pPr>
            <w:r>
              <w:rPr>
                <w:rFonts w:hint="eastAsia"/>
                <w:szCs w:val="20"/>
                <w:highlight w:val="none"/>
              </w:rPr>
              <w:t>谈判总价（元）</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pPr>
              <w:pStyle w:val="2"/>
              <w:keepNext w:val="0"/>
              <w:keepLines w:val="0"/>
              <w:suppressLineNumbers w:val="0"/>
              <w:spacing w:before="0" w:beforeAutospacing="0" w:after="0" w:afterAutospacing="0"/>
              <w:ind w:left="0" w:right="0" w:firstLine="0"/>
              <w:jc w:val="center"/>
              <w:rPr>
                <w:rFonts w:hint="default"/>
                <w:szCs w:val="20"/>
                <w:highlight w:val="none"/>
              </w:rPr>
            </w:pP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olor w:val="000000"/>
                <w:szCs w:val="20"/>
                <w:highlight w:val="none"/>
                <w:lang w:eastAsia="zh-CN"/>
              </w:rPr>
              <w:t>项目经理</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工期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质量</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bl>
    <w:p>
      <w:pPr>
        <w:widowControl/>
        <w:snapToGrid w:val="0"/>
        <w:spacing w:line="360" w:lineRule="auto"/>
        <w:ind w:firstLine="4620" w:firstLineChars="2200"/>
        <w:rPr>
          <w:rFonts w:ascii="宋体" w:hAnsi="宋体" w:cs="Arial"/>
          <w:kern w:val="0"/>
          <w:szCs w:val="21"/>
          <w:highlight w:val="none"/>
        </w:rPr>
      </w:pPr>
    </w:p>
    <w:p>
      <w:pPr>
        <w:widowControl/>
        <w:snapToGrid w:val="0"/>
        <w:spacing w:line="360" w:lineRule="auto"/>
        <w:ind w:firstLine="4620" w:firstLineChars="2200"/>
        <w:rPr>
          <w:rFonts w:ascii="宋体" w:hAnsi="宋体" w:cs="Arial"/>
          <w:kern w:val="0"/>
          <w:szCs w:val="21"/>
          <w:highlight w:val="none"/>
        </w:rPr>
      </w:pPr>
      <w:r>
        <w:rPr>
          <w:rFonts w:hint="eastAsia" w:ascii="宋体" w:hAnsi="宋体" w:cs="Arial"/>
          <w:kern w:val="0"/>
          <w:szCs w:val="21"/>
          <w:highlight w:val="none"/>
        </w:rPr>
        <w:t>供应商（盖章）：</w:t>
      </w:r>
    </w:p>
    <w:p>
      <w:pPr>
        <w:widowControl/>
        <w:snapToGrid w:val="0"/>
        <w:spacing w:line="360" w:lineRule="auto"/>
        <w:rPr>
          <w:rFonts w:ascii="宋体" w:hAnsi="宋体" w:cs="Arial"/>
          <w:kern w:val="0"/>
          <w:szCs w:val="21"/>
          <w:highlight w:val="none"/>
        </w:rPr>
      </w:pPr>
    </w:p>
    <w:p>
      <w:pPr>
        <w:snapToGrid w:val="0"/>
        <w:spacing w:line="360" w:lineRule="auto"/>
        <w:ind w:firstLine="4620" w:firstLineChars="2200"/>
        <w:rPr>
          <w:rFonts w:ascii="宋体" w:hAnsi="宋体"/>
          <w:szCs w:val="21"/>
          <w:highlight w:val="none"/>
        </w:rPr>
      </w:pPr>
      <w:r>
        <w:rPr>
          <w:rFonts w:hint="eastAsia" w:ascii="宋体" w:hAnsi="宋体"/>
          <w:szCs w:val="21"/>
          <w:highlight w:val="none"/>
        </w:rPr>
        <w:t>法定代表人或代理人（签字或盖章）：</w:t>
      </w:r>
    </w:p>
    <w:p>
      <w:pPr>
        <w:snapToGrid w:val="0"/>
        <w:spacing w:line="360" w:lineRule="auto"/>
        <w:ind w:firstLine="4620" w:firstLineChars="2200"/>
        <w:rPr>
          <w:rFonts w:ascii="宋体" w:hAnsi="宋体"/>
          <w:szCs w:val="21"/>
          <w:highlight w:val="none"/>
        </w:rPr>
      </w:pPr>
    </w:p>
    <w:p>
      <w:pPr>
        <w:snapToGrid w:val="0"/>
        <w:spacing w:line="360" w:lineRule="auto"/>
        <w:ind w:firstLine="4620" w:firstLineChars="2200"/>
        <w:rPr>
          <w:rFonts w:ascii="Arial" w:hAnsi="Arial" w:cs="Arial"/>
          <w:kern w:val="0"/>
          <w:szCs w:val="21"/>
          <w:highlight w:val="none"/>
        </w:rPr>
      </w:pPr>
      <w:r>
        <w:rPr>
          <w:rFonts w:ascii="Arial" w:hAnsi="Arial" w:cs="Arial"/>
          <w:highlight w:val="none"/>
        </w:rPr>
        <w:t>日期：</w:t>
      </w:r>
      <w:r>
        <w:rPr>
          <w:rFonts w:ascii="Arial" w:hAnsi="Arial" w:cs="Arial"/>
          <w:kern w:val="0"/>
          <w:szCs w:val="21"/>
          <w:highlight w:val="none"/>
        </w:rPr>
        <w:t xml:space="preserve">年  月 </w:t>
      </w:r>
      <w:bookmarkStart w:id="22" w:name="_Toc10458"/>
    </w:p>
    <w:p>
      <w:pPr>
        <w:pStyle w:val="2"/>
        <w:rPr>
          <w:rFonts w:ascii="Arial" w:hAnsi="Arial" w:cs="Arial"/>
          <w:kern w:val="0"/>
          <w:szCs w:val="21"/>
          <w:highlight w:val="none"/>
        </w:rPr>
      </w:pPr>
    </w:p>
    <w:p>
      <w:pPr>
        <w:rPr>
          <w:rFonts w:ascii="Arial" w:hAnsi="Arial" w:cs="Arial"/>
          <w:kern w:val="0"/>
          <w:szCs w:val="21"/>
          <w:highlight w:val="none"/>
        </w:rPr>
      </w:pPr>
    </w:p>
    <w:p>
      <w:pPr>
        <w:pStyle w:val="2"/>
        <w:rPr>
          <w:rFonts w:ascii="Arial" w:hAnsi="Arial" w:cs="Arial"/>
          <w:kern w:val="0"/>
          <w:szCs w:val="21"/>
          <w:highlight w:val="none"/>
        </w:rPr>
      </w:pPr>
    </w:p>
    <w:p>
      <w:pPr>
        <w:rPr>
          <w:rFonts w:ascii="Arial" w:hAnsi="Arial" w:cs="Arial"/>
          <w:kern w:val="0"/>
          <w:szCs w:val="21"/>
          <w:highlight w:val="none"/>
        </w:rPr>
      </w:pPr>
    </w:p>
    <w:p>
      <w:pPr>
        <w:pStyle w:val="2"/>
        <w:rPr>
          <w:rFonts w:hint="eastAsia"/>
          <w:highlight w:val="none"/>
        </w:rPr>
      </w:pPr>
    </w:p>
    <w:p>
      <w:pPr>
        <w:spacing w:line="360" w:lineRule="auto"/>
        <w:outlineLvl w:val="0"/>
        <w:rPr>
          <w:rFonts w:hint="eastAsia" w:ascii="宋体" w:hAnsi="宋体" w:cs="宋体"/>
          <w:b/>
          <w:sz w:val="28"/>
          <w:szCs w:val="22"/>
          <w:highlight w:val="none"/>
        </w:rPr>
      </w:pPr>
    </w:p>
    <w:p>
      <w:pPr>
        <w:spacing w:line="360" w:lineRule="auto"/>
        <w:outlineLvl w:val="0"/>
        <w:rPr>
          <w:rFonts w:hint="eastAsia" w:ascii="宋体" w:hAnsi="宋体" w:cs="宋体"/>
          <w:b/>
          <w:sz w:val="28"/>
          <w:szCs w:val="22"/>
          <w:highlight w:val="none"/>
        </w:rPr>
      </w:pPr>
    </w:p>
    <w:p>
      <w:pPr>
        <w:spacing w:line="360" w:lineRule="auto"/>
        <w:outlineLvl w:val="0"/>
        <w:rPr>
          <w:rFonts w:hint="eastAsia" w:ascii="宋体" w:hAnsi="宋体" w:cs="宋体"/>
          <w:b/>
          <w:sz w:val="28"/>
          <w:szCs w:val="22"/>
          <w:highlight w:val="none"/>
        </w:rPr>
      </w:pPr>
    </w:p>
    <w:p>
      <w:pPr>
        <w:pStyle w:val="2"/>
        <w:rPr>
          <w:rFonts w:hint="eastAsia" w:ascii="宋体" w:hAnsi="宋体" w:cs="宋体"/>
          <w:b/>
          <w:sz w:val="28"/>
          <w:szCs w:val="22"/>
          <w:highlight w:val="none"/>
        </w:rPr>
      </w:pPr>
    </w:p>
    <w:p>
      <w:pPr>
        <w:rPr>
          <w:rFonts w:hint="eastAsia"/>
          <w:highlight w:val="none"/>
        </w:rPr>
      </w:pPr>
    </w:p>
    <w:p>
      <w:pPr>
        <w:rPr>
          <w:rFonts w:hint="default" w:ascii="宋体" w:hAnsi="宋体" w:eastAsia="宋体" w:cs="宋体"/>
          <w:b/>
          <w:sz w:val="28"/>
          <w:szCs w:val="22"/>
          <w:highlight w:val="none"/>
          <w:lang w:val="en-US" w:eastAsia="zh-CN"/>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5</w:t>
      </w:r>
      <w:r>
        <w:rPr>
          <w:rFonts w:hint="eastAsia" w:ascii="宋体" w:hAnsi="宋体" w:eastAsia="宋体" w:cs="宋体"/>
          <w:b/>
          <w:sz w:val="28"/>
          <w:szCs w:val="22"/>
          <w:highlight w:val="none"/>
        </w:rPr>
        <w:t>：</w:t>
      </w:r>
      <w:r>
        <w:rPr>
          <w:rFonts w:hint="eastAsia" w:ascii="宋体" w:hAnsi="宋体" w:cs="宋体"/>
          <w:b/>
          <w:sz w:val="28"/>
          <w:szCs w:val="22"/>
          <w:highlight w:val="none"/>
          <w:lang w:val="en-US" w:eastAsia="zh-CN"/>
        </w:rPr>
        <w:t>分项报价</w:t>
      </w:r>
    </w:p>
    <w:tbl>
      <w:tblPr>
        <w:tblStyle w:val="27"/>
        <w:tblW w:w="913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968"/>
        <w:gridCol w:w="1094"/>
        <w:gridCol w:w="591"/>
        <w:gridCol w:w="875"/>
        <w:gridCol w:w="1109"/>
        <w:gridCol w:w="1075"/>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序号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内容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规格(cm)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数量</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cs="宋体"/>
                <w:b/>
                <w:bCs w:val="0"/>
                <w:sz w:val="18"/>
                <w:szCs w:val="18"/>
                <w:highlight w:val="none"/>
                <w:lang w:val="en-US" w:eastAsia="zh-CN"/>
              </w:rPr>
              <w:t>投标</w:t>
            </w:r>
            <w:r>
              <w:rPr>
                <w:rFonts w:hint="eastAsia" w:ascii="宋体" w:hAnsi="宋体" w:eastAsia="宋体" w:cs="宋体"/>
                <w:b/>
                <w:bCs w:val="0"/>
                <w:sz w:val="18"/>
                <w:szCs w:val="18"/>
                <w:highlight w:val="none"/>
                <w:lang w:val="en-US" w:eastAsia="zh-CN"/>
              </w:rPr>
              <w:t>单价（元）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cs="宋体"/>
                <w:b/>
                <w:bCs w:val="0"/>
                <w:sz w:val="18"/>
                <w:szCs w:val="18"/>
                <w:highlight w:val="none"/>
                <w:lang w:val="en-US" w:eastAsia="zh-CN"/>
              </w:rPr>
              <w:t>金额</w:t>
            </w:r>
            <w:r>
              <w:rPr>
                <w:rFonts w:hint="eastAsia" w:ascii="宋体" w:hAnsi="宋体" w:eastAsia="宋体" w:cs="宋体"/>
                <w:b/>
                <w:bCs w:val="0"/>
                <w:sz w:val="18"/>
                <w:szCs w:val="18"/>
                <w:highlight w:val="none"/>
                <w:lang w:val="en-US" w:eastAsia="zh-CN"/>
              </w:rPr>
              <w:t>（元）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天桥北入口大厅空间装饰布置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“新四季”文化墙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687*290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18.92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灯带（槽）【复杂多层灯槽叠级墙面圆形灯带;12厚阻燃板基层;12厚石膏板;石膏板拼缝处均需嵌缝膏及接缝纸带;板面钉眼封点防锈漆;901胶白水泥腻子二遍，白色乳胶漆三遍;按饰面板展开面积计算;】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390*290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墙面地台装饰【木龙骨基础;防火涂料三遍;18厚木工板基层;4厚铝塑板饰面;按图示，满足设计要求】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482*10*38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抹灰面油漆【墙面乳胶漆;901胶白水泥腻子二遍，白色乳胶漆三遍;】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588*300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10.19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抹灰面油漆【墙面乳胶漆;901胶白水泥腻子二遍，清油封底三遍;】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墙纸裱糊【定制成品艺术墙纸;】</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12.25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标识牌【学校LOGO铭牌：机雕板，亚克力UV，双层立体字;满足设计要求】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43*34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标识牌【“新四季创未来”雕刻字：机雕板，亚克力UV，双层立体字;满足设计要求;】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71*38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标识牌【“紫云”印章：机雕板，亚克力UV，双层立体字;满足设计要求;】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标识牌【雕刻字FOUR SEASONS CULTURE：亚克力UV，;满足设计要求;】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56*3.5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标识牌【消火栓：3M彩印图文；规格700*1600;】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60*170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“心中有光”文化墙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墙面装饰板【多层造型：石膏板墙面;木龙骨基础;防火涂料三遍;12厚阻燃板基层;12厚石膏板;石膏板拼缝处均需嵌缝膏及接缝纸带;板面钉眼封点防锈漆;按图示，满足设计要求】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195*300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抹灰面油漆【墙面乳胶漆;901胶白水泥腻子二遍，专色双色乳胶漆三遍;按图示，满足设计要求】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195*300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装饰件【机雕板雕刻字，喷汽车漆;满足设计要求;】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140*160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装饰件【XINZHONGYOUGUANG：40*40*2镀锌光管，木工板基层，铝塑板面饰，亚克力雕刻字;满足设计要求;】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0.9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标识牌【雕刻字XINZHONGYOUGUANG：亚克力UV;满足设计要求;】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11*195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装饰件【魔立方：50*50*50CM，UV字;满足设计要求;】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50*50*50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座椅【钢制艺术造型，烤漆;满足设计要求;】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130*80*60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张</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装饰件【花造型：钢结构支架；玻璃钢，翻模，彩绘，满足设计要求;】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150*150*240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装饰件【吉祥物：机雕板UV雕刻;钢支架;满足设计要求;】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90*115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“向光而行”门厅装饰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墙面装饰板【装饰墙：木龙骨基础，防火涂料三遍，石膏板底层；柱状造型：18厚木工板基层;4厚铝塑板分色面饰;拼缝处均需嵌缝膏及接缝纸带;按图示安装，满足设计要求】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19.4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墙面装饰板【石膏板墙面;木龙骨基础;防火涂料三遍;12厚阻燃板基层;12厚石膏板;石膏板拼缝处均需嵌缝膏及接缝纸带;板面钉眼封点防锈漆;按图示，满足设计要求】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65*300/90*300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抹灰面油漆【墙面乳胶漆;901胶白水泥腻子二遍，清油封底三遍;】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65*300/90*300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标识牌【“向光而行”发光字：金属围边6CM，烤汽车漆，LED白光；亚克力面板;规格数量：36*36CM1个，24*24CM3个;】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装饰件【吉祥物：机雕板UV雕刻;满足设计要求;】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78*51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标识牌【LOGO:围边6CM铝合金隐框灯箱，软膜UV面层;规格60*60CM;】</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60*60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消防维修门【木工板，铝塑板饰面，五金铰链;】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门装饰【3M车贴;UV彩印;满足设计要求】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200*200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顶棚装饰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吊顶天棚【吊顶造型顶棚：φ8镀锌丝杆,60系列轻钢龙骨,横撑龙骨400*600MM,10mm纸面石膏板,贴自粘胶带,钉眼封点防锈漆;乳胶漆三底三面，白色；吊顶高度按图示;】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740*540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抹灰面油漆【原天棚涂料铲除，顶棚局部补灰打磨砂平，901胶白水泥腻子、灰色乳胶漆各两遍;具体做法和吊顶高度按图示;】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740*540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横梁【顶棚横梁造型：30*40MM木龙骨，间距400*600MM,10mm纸面石膏板,贴自粘胶带,钉眼封点防锈漆;乳胶漆三底三面，白色；】</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380*15*10/550*15*10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格栅吊顶【φ8，高900mm全丝杆吊筋@1100mm；60系列轻钢龙骨;成品40*80*1.2铝方通，中间距100mm;吊顶高度按图示;】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控制屏【小米43寸i5/8+128G双系统；挂架版;】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装饰灯【LED软灯带;8W/m;嵌装;】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装饰灯【LED导轨射灯;1*15W;轨道安装;】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装饰灯【射灯导轨支架;】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装饰灯【4寸LED射灯;1*7W;吊顶嵌装;含灯头接线盒、连接线及接线软管;】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装饰灯【4寸筒灯;1*7W;嵌入式安装;含金属软管、线盒】</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配线【管内穿线;WDZB-BYJ-2.5;铜芯;】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配管【电气配管;紧定管;JDG25*1.6;砖、混结构暗配;含墙面开槽、打孔及水泥砂浆面层修复;】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配管【电气配管;紧定管;JDG20*1.6;吊顶内敷设;】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插座【单相二三极组合暗装插座;86H 250V/10A(安全型);暗装;】</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控制器【灯箱电源控制器;】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天桥南入口大厅空间装饰布置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“音我精彩”文化墙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原墙面铲除清理.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抹灰面油漆【墙面乳胶漆;901胶白水泥腻子二遍，白色乳胶漆三遍;满足设计要求】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756*160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标识牌【“音你精彩”雕刻字：机雕板，亚克力UV，双层立体字;满足设计要求;】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23*23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装饰墙【彩色纤维软板，1CM厚，镶嵌拼色;满足设计要求;】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450*85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标识牌【吉祥物：机雕板，亚克力UV，双层;满足设计要求;】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113*132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装饰件【LOGO：机雕板UV雕刻;满足设计要求;】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102*57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装饰件【音符：机雕板UV雕刻;满足设计要求;】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照片墙【六边形：20MM厚机雕板，亚克力UV照片，双层，磁性;满足设计要求;】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36.5*32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照片墙【六边形：20MM厚机雕板，亚克力UV照片，双层，磁性;满足设计要求;】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25*22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装饰件【键盘墙贴：透明膜UV;满足设计要求;】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45*756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天桥空间装饰布置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天桥顶棚装饰布置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天桥天棚吊顶【吊顶造型顶棚：网格板△造型，φ8镀锌丝杆,金属构件固定,焊点防锈漆，彩色专色氟碳漆三底三面；】</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180*390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49.77</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（二）</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展示墙【△造型网格板，金属构件固定,焊点防锈漆，彩色专色氟碳漆三底三面；数量6片】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37.62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天桥西立面学生作品墙【基架：40*40MM镀锌方管，间距400*600MM，18MM厚木工板，防火涂料三遍；】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1125*390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44.4375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天桥西立面学生作品墙【展示墙：2厚磁性钢板，烤瓷漆，面层艺术贴装饰；304不锈钢折弯包边装饰】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1125*390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44.4375</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背景墙【屋型造型装饰：30*40MM木龙骨，间距400*400MM，18MM厚木工板，防火涂料三遍，3厚21丝铝塑板饰面，按图示，满足设计要求】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837*390*28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18.33</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背景墙【基架：40*40MM镀锌方管，间距400*600MM，18MM厚木工板，防火涂料三遍；满足设计要求】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120*195/100*358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8.618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背景墙【展示板：10MM厚吸音板面层艺术贴装饰；满足设计要求】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130*205/110*358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9.268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背景墙【展示柜：20MM厚实木板；哑光漆；10MM厚吸音板题板；按图示，满足设计要求】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200*350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9.268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标题字【雪弗板,UV彩印；】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作品陈列矮柜【20MM厚实木板；哑光漆；】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80*360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阶梯式作品陈列柜【20MM厚实木板；哑光漆；】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折页型陈列架【钢架，防锈漆三遍，面喷黑色漆三遍；20MM厚实木层板；哑光漆；】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72*175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装饰件【钢架，防锈漆三遍，面喷黑色漆三遍；20MM木工板板；石膏板，批灰打磨，清油封底三遍，面贴定制成品墙纸；图板深化设计，满足设计要求】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海报架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天桥钢架支柱装饰【彩色专色涂料面涂三遍；】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（三）</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天桥东立面装饰布置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展示墙【△造型网格板，金属构件固定,焊点防锈漆，彩色专色氟碳漆三底三面；规格330*380CM,数量10片】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330*380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62.70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展示墙【△造型网格板，金属构件固定,焊点防锈漆，彩色专色氟碳漆三底三面；规格160*390CM,数量4片】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390*167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背景墙【基架：40*40MM镀锌方管，间距400*600MM，18MM厚木工板，防火涂料三遍；10MM厚纤维软板饰面；满足设计要求】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330*286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28.08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背景基座【基架：40*40MM镀锌方管，间距400*600MM，18MM厚木工板，防火涂料三遍；10MM厚纤维软板饰面；满足设计要求】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105*760*35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标识牌【FOUR SEASONS CULTURE立体字：20MM厚雪弗板，围边60MM,满足设计要求;】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60*40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壁式陈列柜【20MM厚实木板；哑光漆；】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50*200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作品陈列矮柜【20MM厚实木板；哑光漆；】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80*440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阶梯式作品陈列柜【20MM厚实木板；哑光漆；】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折页型陈列架【钢架，防锈漆三遍，面喷黑色漆三遍；20MM厚实木层板；哑光漆；】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72*350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装饰件【钢架，防锈漆三遍，面喷黑色漆三遍；20MM木工板板；石膏板，批灰打磨，清油封底三遍，面贴定制成品墙纸；图板深化设计，满足设计要求】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300*340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海报架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80*240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天桥钢架支柱装饰【彩色专色涂料面涂三遍；】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78.4</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“3M”地贴：深化设计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160*3150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50.4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其它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满堂脚手架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垂直运输【材料人工上楼;】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垃圾清运</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四</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一楼走廊</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86</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格栅吊顶【φ8，高900mm全丝杆吊筋@1100mm；60系列轻钢龙骨;成品40*80*1.2铝方通，中间距100mm;吊顶高度按图示;】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1100*1450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159.5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灯具【LED条形灯（10*100CM）; 安装; 满足设计参数、功能及规范要求；】</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只</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配线【管内穿线;WDZB-BYJ-2.5;铜芯;】</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360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89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配管【电气配管;紧定管;JDG20*1.6;吊顶内敷设;】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val="en-US" w:eastAsia="zh-CN"/>
              </w:rPr>
              <w:t>170</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小计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val="en-US" w:eastAsia="zh-CN"/>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val="0"/>
                <w:sz w:val="18"/>
                <w:szCs w:val="18"/>
                <w:highlight w:val="none"/>
                <w:lang w:eastAsia="zh-CN"/>
              </w:rPr>
            </w:pPr>
          </w:p>
        </w:tc>
      </w:tr>
    </w:tbl>
    <w:p>
      <w:pPr>
        <w:spacing w:line="360" w:lineRule="auto"/>
        <w:outlineLvl w:val="0"/>
        <w:rPr>
          <w:rFonts w:hint="eastAsia" w:ascii="宋体" w:hAnsi="宋体" w:cs="宋体"/>
          <w:b/>
          <w:sz w:val="28"/>
          <w:szCs w:val="22"/>
          <w:highlight w:val="none"/>
        </w:rPr>
      </w:pPr>
    </w:p>
    <w:p>
      <w:pPr>
        <w:widowControl w:val="0"/>
        <w:ind w:left="4410" w:leftChars="2100" w:firstLine="42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供应商（盖章）：                    </w:t>
      </w:r>
    </w:p>
    <w:p>
      <w:pPr>
        <w:widowControl w:val="0"/>
        <w:ind w:left="4410" w:leftChars="2100" w:firstLine="420"/>
        <w:jc w:val="both"/>
        <w:rPr>
          <w:rFonts w:ascii="宋体" w:hAnsi="宋体" w:eastAsia="宋体" w:cs="宋体"/>
          <w:kern w:val="2"/>
          <w:sz w:val="21"/>
          <w:szCs w:val="21"/>
          <w:highlight w:val="none"/>
          <w:lang w:val="en-US" w:eastAsia="zh-CN" w:bidi="ar-SA"/>
        </w:rPr>
      </w:pPr>
    </w:p>
    <w:p>
      <w:pPr>
        <w:widowControl w:val="0"/>
        <w:ind w:left="4410" w:leftChars="2100" w:firstLine="420"/>
        <w:jc w:val="both"/>
        <w:rPr>
          <w:rFonts w:ascii="宋体" w:hAnsi="宋体" w:eastAsia="宋体" w:cs="宋体"/>
          <w:kern w:val="2"/>
          <w:sz w:val="21"/>
          <w:szCs w:val="21"/>
          <w:highlight w:val="none"/>
          <w:lang w:val="en-US" w:eastAsia="zh-CN" w:bidi="ar-SA"/>
        </w:rPr>
      </w:pPr>
    </w:p>
    <w:p>
      <w:pPr>
        <w:widowControl w:val="0"/>
        <w:ind w:left="4410" w:leftChars="2100" w:firstLine="42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法定代表人或代理人（签字或盖章）：</w:t>
      </w:r>
    </w:p>
    <w:p>
      <w:pPr>
        <w:widowControl w:val="0"/>
        <w:ind w:left="4410" w:leftChars="2100" w:firstLine="420"/>
        <w:jc w:val="both"/>
        <w:rPr>
          <w:rFonts w:ascii="宋体" w:hAnsi="宋体" w:eastAsia="宋体" w:cs="宋体"/>
          <w:kern w:val="2"/>
          <w:sz w:val="21"/>
          <w:szCs w:val="21"/>
          <w:highlight w:val="none"/>
          <w:lang w:val="en-US" w:eastAsia="zh-CN" w:bidi="ar-SA"/>
        </w:rPr>
      </w:pPr>
    </w:p>
    <w:p>
      <w:pPr>
        <w:widowControl w:val="0"/>
        <w:ind w:left="4410" w:leftChars="2100" w:firstLine="420"/>
        <w:jc w:val="both"/>
        <w:rPr>
          <w:rFonts w:ascii="宋体" w:hAnsi="宋体" w:eastAsia="宋体" w:cs="宋体"/>
          <w:kern w:val="2"/>
          <w:sz w:val="21"/>
          <w:szCs w:val="21"/>
          <w:highlight w:val="none"/>
          <w:lang w:val="en-US" w:eastAsia="zh-CN" w:bidi="ar-SA"/>
        </w:rPr>
      </w:pPr>
    </w:p>
    <w:p>
      <w:pPr>
        <w:ind w:left="4410" w:leftChars="2100" w:firstLine="420" w:firstLineChars="200"/>
        <w:rPr>
          <w:rFonts w:ascii="宋体" w:hAnsi="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kern w:val="2"/>
          <w:sz w:val="21"/>
          <w:szCs w:val="21"/>
          <w:highlight w:val="none"/>
          <w:lang w:val="en-US" w:eastAsia="zh-CN" w:bidi="ar-SA"/>
        </w:rPr>
        <w:t>日期：      年  月   日</w:t>
      </w:r>
    </w:p>
    <w:p>
      <w:pPr>
        <w:spacing w:line="360" w:lineRule="auto"/>
        <w:outlineLvl w:val="0"/>
        <w:rPr>
          <w:rFonts w:ascii="宋体" w:hAnsi="宋体" w:cs="宋体"/>
          <w:sz w:val="28"/>
          <w:highlight w:val="none"/>
        </w:rPr>
      </w:pPr>
      <w:r>
        <w:rPr>
          <w:rFonts w:hint="eastAsia" w:ascii="宋体" w:hAnsi="宋体" w:cs="宋体"/>
          <w:b/>
          <w:sz w:val="28"/>
          <w:szCs w:val="22"/>
          <w:highlight w:val="none"/>
        </w:rPr>
        <w:t>附件</w:t>
      </w:r>
      <w:r>
        <w:rPr>
          <w:rFonts w:hint="eastAsia" w:ascii="宋体" w:hAnsi="宋体" w:cs="宋体"/>
          <w:b/>
          <w:sz w:val="28"/>
          <w:szCs w:val="22"/>
          <w:highlight w:val="none"/>
          <w:lang w:val="en-US" w:eastAsia="zh-CN"/>
        </w:rPr>
        <w:t>6</w:t>
      </w:r>
      <w:r>
        <w:rPr>
          <w:rFonts w:hint="eastAsia" w:ascii="宋体" w:hAnsi="宋体" w:cs="宋体"/>
          <w:b/>
          <w:sz w:val="28"/>
          <w:szCs w:val="22"/>
          <w:highlight w:val="none"/>
        </w:rPr>
        <w:t>：质量保证、服务承诺书</w:t>
      </w:r>
      <w:bookmarkEnd w:id="22"/>
    </w:p>
    <w:p>
      <w:pPr>
        <w:tabs>
          <w:tab w:val="left" w:pos="432"/>
        </w:tabs>
        <w:spacing w:line="480" w:lineRule="exact"/>
        <w:jc w:val="center"/>
        <w:rPr>
          <w:rFonts w:ascii="宋体" w:hAnsi="宋体" w:cs="宋体"/>
          <w:b/>
          <w:sz w:val="24"/>
          <w:highlight w:val="none"/>
        </w:rPr>
      </w:pPr>
      <w:r>
        <w:rPr>
          <w:rFonts w:hint="eastAsia" w:ascii="宋体" w:hAnsi="宋体" w:cs="宋体"/>
          <w:b/>
          <w:sz w:val="24"/>
          <w:highlight w:val="none"/>
        </w:rPr>
        <w:t>质量保证、服务承诺书</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质量保证：</w:t>
      </w:r>
    </w:p>
    <w:p>
      <w:pPr>
        <w:spacing w:line="360" w:lineRule="auto"/>
        <w:rPr>
          <w:rFonts w:ascii="宋体" w:hAnsi="宋体" w:cs="宋体"/>
          <w:sz w:val="24"/>
          <w:highlight w:val="none"/>
        </w:rPr>
      </w:pPr>
    </w:p>
    <w:p>
      <w:pPr>
        <w:pStyle w:val="2"/>
        <w:ind w:firstLine="0"/>
        <w:rPr>
          <w:rFonts w:ascii="宋体" w:hAnsi="宋体" w:cs="宋体"/>
          <w:sz w:val="24"/>
          <w:highlight w:val="none"/>
        </w:rPr>
      </w:pPr>
    </w:p>
    <w:p>
      <w:pPr>
        <w:rPr>
          <w:rFonts w:ascii="宋体" w:hAnsi="宋体" w:cs="宋体"/>
          <w:sz w:val="24"/>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rFonts w:ascii="宋体" w:hAnsi="宋体" w:cs="宋体"/>
          <w:highlight w:val="none"/>
        </w:rPr>
      </w:pPr>
    </w:p>
    <w:p>
      <w:pPr>
        <w:pStyle w:val="2"/>
        <w:rPr>
          <w:rFonts w:ascii="宋体" w:hAnsi="宋体" w:cs="宋体"/>
          <w:highlight w:val="none"/>
        </w:rPr>
      </w:pPr>
    </w:p>
    <w:p>
      <w:pPr>
        <w:rPr>
          <w:highlight w:val="none"/>
        </w:rPr>
      </w:pPr>
    </w:p>
    <w:p>
      <w:pPr>
        <w:rPr>
          <w:rFonts w:ascii="宋体" w:hAnsi="宋体" w:cs="宋体"/>
          <w:highlight w:val="none"/>
        </w:rPr>
      </w:pPr>
    </w:p>
    <w:p>
      <w:pPr>
        <w:spacing w:line="360" w:lineRule="auto"/>
        <w:rPr>
          <w:rFonts w:ascii="宋体" w:hAnsi="宋体" w:cs="宋体"/>
          <w:sz w:val="24"/>
          <w:highlight w:val="none"/>
        </w:rPr>
      </w:pPr>
      <w:r>
        <w:rPr>
          <w:rFonts w:hint="eastAsia" w:ascii="宋体" w:hAnsi="宋体" w:cs="宋体"/>
          <w:sz w:val="24"/>
          <w:highlight w:val="none"/>
        </w:rPr>
        <w:t>服务承诺：</w:t>
      </w:r>
    </w:p>
    <w:p>
      <w:pPr>
        <w:pStyle w:val="2"/>
        <w:rPr>
          <w:rFonts w:ascii="宋体" w:hAnsi="宋体" w:cs="宋体"/>
          <w:sz w:val="24"/>
          <w:highlight w:val="none"/>
        </w:rPr>
      </w:pPr>
    </w:p>
    <w:p>
      <w:pPr>
        <w:rPr>
          <w:rFonts w:ascii="宋体" w:hAnsi="宋体" w:cs="宋体"/>
          <w:sz w:val="24"/>
          <w:highlight w:val="none"/>
        </w:rPr>
      </w:pPr>
    </w:p>
    <w:p>
      <w:pPr>
        <w:pStyle w:val="2"/>
        <w:rPr>
          <w:rFonts w:ascii="宋体" w:hAnsi="宋体" w:cs="宋体"/>
          <w:highlight w:val="none"/>
        </w:rPr>
      </w:pPr>
    </w:p>
    <w:p>
      <w:pPr>
        <w:pStyle w:val="2"/>
        <w:rPr>
          <w:rFonts w:ascii="宋体" w:hAnsi="宋体" w:cs="宋体"/>
          <w:sz w:val="24"/>
          <w:highlight w:val="none"/>
        </w:rPr>
      </w:pPr>
    </w:p>
    <w:p>
      <w:pPr>
        <w:rPr>
          <w:rFonts w:ascii="宋体" w:hAnsi="宋体" w:cs="宋体"/>
          <w:sz w:val="24"/>
          <w:highlight w:val="none"/>
        </w:rPr>
      </w:pPr>
    </w:p>
    <w:p>
      <w:pPr>
        <w:pStyle w:val="2"/>
        <w:rPr>
          <w:highlight w:val="none"/>
        </w:rPr>
      </w:pPr>
    </w:p>
    <w:p>
      <w:pPr>
        <w:pStyle w:val="2"/>
        <w:rPr>
          <w:rFonts w:ascii="宋体" w:hAnsi="宋体" w:cs="宋体"/>
          <w:sz w:val="24"/>
          <w:highlight w:val="none"/>
        </w:rPr>
      </w:pPr>
    </w:p>
    <w:p>
      <w:pPr>
        <w:pStyle w:val="2"/>
        <w:ind w:left="4410" w:leftChars="2100"/>
        <w:rPr>
          <w:rFonts w:ascii="宋体" w:hAnsi="宋体" w:cs="宋体"/>
          <w:szCs w:val="21"/>
          <w:highlight w:val="none"/>
        </w:rPr>
      </w:pPr>
      <w:r>
        <w:rPr>
          <w:rFonts w:hint="eastAsia" w:ascii="宋体" w:hAnsi="宋体" w:cs="宋体"/>
          <w:szCs w:val="21"/>
          <w:highlight w:val="none"/>
        </w:rPr>
        <w:t xml:space="preserve">供应商（盖章）：                    </w:t>
      </w:r>
    </w:p>
    <w:p>
      <w:pPr>
        <w:pStyle w:val="2"/>
        <w:ind w:left="4410" w:leftChars="2100"/>
        <w:rPr>
          <w:rFonts w:ascii="宋体" w:hAnsi="宋体" w:cs="宋体"/>
          <w:szCs w:val="21"/>
          <w:highlight w:val="none"/>
        </w:rPr>
      </w:pPr>
    </w:p>
    <w:p>
      <w:pPr>
        <w:pStyle w:val="2"/>
        <w:ind w:left="4410" w:leftChars="2100"/>
        <w:rPr>
          <w:rFonts w:ascii="宋体" w:hAnsi="宋体" w:cs="宋体"/>
          <w:szCs w:val="21"/>
          <w:highlight w:val="none"/>
        </w:rPr>
      </w:pPr>
    </w:p>
    <w:p>
      <w:pPr>
        <w:pStyle w:val="2"/>
        <w:ind w:left="4410" w:leftChars="2100"/>
        <w:rPr>
          <w:rFonts w:ascii="宋体" w:hAnsi="宋体" w:cs="宋体"/>
          <w:szCs w:val="21"/>
          <w:highlight w:val="none"/>
        </w:rPr>
      </w:pPr>
      <w:r>
        <w:rPr>
          <w:rFonts w:hint="eastAsia" w:ascii="宋体" w:hAnsi="宋体" w:cs="宋体"/>
          <w:szCs w:val="21"/>
          <w:highlight w:val="none"/>
        </w:rPr>
        <w:t>法定代表人或代理人（签字或盖章）：</w:t>
      </w:r>
    </w:p>
    <w:p>
      <w:pPr>
        <w:pStyle w:val="2"/>
        <w:ind w:left="4410" w:leftChars="2100"/>
        <w:rPr>
          <w:rFonts w:ascii="宋体" w:hAnsi="宋体" w:cs="宋体"/>
          <w:szCs w:val="21"/>
          <w:highlight w:val="none"/>
        </w:rPr>
      </w:pPr>
    </w:p>
    <w:p>
      <w:pPr>
        <w:pStyle w:val="2"/>
        <w:ind w:left="4410" w:leftChars="2100"/>
        <w:rPr>
          <w:rFonts w:ascii="宋体" w:hAnsi="宋体" w:cs="宋体"/>
          <w:szCs w:val="21"/>
          <w:highlight w:val="none"/>
        </w:rPr>
      </w:pPr>
    </w:p>
    <w:p>
      <w:pPr>
        <w:pStyle w:val="2"/>
        <w:ind w:left="4410" w:leftChars="2100"/>
        <w:rPr>
          <w:rFonts w:ascii="宋体" w:hAnsi="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szCs w:val="21"/>
          <w:highlight w:val="none"/>
        </w:rPr>
        <w:t>日期：      年  月   日</w:t>
      </w:r>
    </w:p>
    <w:p>
      <w:pPr>
        <w:rPr>
          <w:rFonts w:ascii="宋体" w:hAnsi="宋体" w:cs="宋体"/>
          <w:b/>
          <w:sz w:val="28"/>
          <w:szCs w:val="28"/>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7</w:t>
      </w:r>
      <w:r>
        <w:rPr>
          <w:rFonts w:hint="eastAsia" w:ascii="宋体" w:hAnsi="宋体" w:cs="宋体"/>
          <w:b/>
          <w:sz w:val="28"/>
          <w:szCs w:val="28"/>
          <w:highlight w:val="none"/>
        </w:rPr>
        <w:t>：偏离表</w:t>
      </w:r>
      <w:bookmarkEnd w:id="21"/>
    </w:p>
    <w:p>
      <w:pPr>
        <w:pStyle w:val="71"/>
        <w:spacing w:line="360" w:lineRule="exact"/>
        <w:jc w:val="center"/>
        <w:rPr>
          <w:rFonts w:cs="宋体"/>
          <w:b/>
          <w:sz w:val="28"/>
          <w:szCs w:val="28"/>
          <w:highlight w:val="none"/>
        </w:rPr>
      </w:pPr>
      <w:r>
        <w:rPr>
          <w:rFonts w:hint="eastAsia" w:cs="宋体"/>
          <w:b/>
          <w:sz w:val="28"/>
          <w:szCs w:val="28"/>
          <w:highlight w:val="none"/>
        </w:rPr>
        <w:t>偏 离 表</w:t>
      </w:r>
    </w:p>
    <w:p>
      <w:pPr>
        <w:rPr>
          <w:rFonts w:ascii="宋体" w:hAnsi="宋体" w:cs="宋体"/>
          <w:b/>
          <w:szCs w:val="21"/>
          <w:highlight w:val="none"/>
        </w:rPr>
      </w:pPr>
    </w:p>
    <w:p>
      <w:pPr>
        <w:ind w:firstLine="420" w:firstLineChars="200"/>
        <w:rPr>
          <w:rFonts w:ascii="宋体" w:hAnsi="宋体" w:cs="宋体"/>
          <w:szCs w:val="21"/>
          <w:highlight w:val="none"/>
        </w:rPr>
      </w:pPr>
      <w:r>
        <w:rPr>
          <w:rFonts w:hint="eastAsia" w:ascii="宋体" w:hAnsi="宋体" w:cs="宋体"/>
          <w:szCs w:val="21"/>
          <w:highlight w:val="none"/>
        </w:rPr>
        <w:t>供应商应对谈判文件中规定的商务及技术部分给予充分的考虑。为了评审的需要，供应商应将这些条款的异议逐条提出或根据以下要求的格式提出偏离。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highlight w:val="none"/>
        </w:rPr>
      </w:pPr>
      <w:r>
        <w:rPr>
          <w:rFonts w:hint="eastAsia" w:ascii="宋体" w:hAnsi="宋体" w:cs="宋体"/>
          <w:szCs w:val="21"/>
          <w:highlight w:val="none"/>
        </w:rPr>
        <w:t xml:space="preserve">如无偏离，请在本页上写“无”，并附在响应文件中。      </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章节号</w:t>
            </w:r>
          </w:p>
        </w:tc>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的偏离</w:t>
            </w:r>
          </w:p>
        </w:tc>
        <w:tc>
          <w:tcPr>
            <w:tcW w:w="30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偏离的理由</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bl>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供应商（盖章）：                    </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法定代表人或代理人（签字或盖章）：</w:t>
      </w:r>
    </w:p>
    <w:p>
      <w:pPr>
        <w:rPr>
          <w:rFonts w:ascii="宋体" w:hAnsi="宋体" w:cs="宋体"/>
          <w:sz w:val="18"/>
          <w:szCs w:val="18"/>
          <w:highlight w:val="none"/>
        </w:rPr>
      </w:pPr>
    </w:p>
    <w:p>
      <w:pPr>
        <w:rPr>
          <w:rFonts w:ascii="宋体" w:hAnsi="宋体" w:cs="宋体"/>
          <w:szCs w:val="21"/>
          <w:highlight w:val="none"/>
        </w:rPr>
      </w:pPr>
      <w:r>
        <w:rPr>
          <w:rFonts w:hint="eastAsia" w:ascii="宋体" w:hAnsi="宋体" w:cs="宋体"/>
          <w:szCs w:val="21"/>
          <w:highlight w:val="none"/>
        </w:rPr>
        <w:t>日期：   年  月  日</w:t>
      </w:r>
    </w:p>
    <w:p>
      <w:pPr>
        <w:pStyle w:val="7"/>
        <w:spacing w:line="360" w:lineRule="auto"/>
        <w:rPr>
          <w:rFonts w:ascii="宋体" w:hAnsi="宋体" w:cs="宋体"/>
          <w:sz w:val="28"/>
          <w:highlight w:val="none"/>
        </w:rPr>
      </w:pPr>
      <w:bookmarkStart w:id="23" w:name="_Toc6973"/>
    </w:p>
    <w:p>
      <w:pPr>
        <w:pStyle w:val="7"/>
        <w:spacing w:line="360" w:lineRule="auto"/>
        <w:rPr>
          <w:rFonts w:ascii="宋体" w:hAnsi="宋体" w:cs="宋体"/>
          <w:sz w:val="28"/>
          <w:highlight w:val="none"/>
        </w:rPr>
      </w:pPr>
    </w:p>
    <w:p>
      <w:pPr>
        <w:pStyle w:val="7"/>
        <w:spacing w:line="360" w:lineRule="auto"/>
        <w:rPr>
          <w:rFonts w:ascii="宋体" w:hAnsi="宋体" w:cs="宋体"/>
          <w:sz w:val="28"/>
          <w:highlight w:val="none"/>
        </w:rPr>
      </w:pPr>
    </w:p>
    <w:p>
      <w:pPr>
        <w:rPr>
          <w:rFonts w:ascii="宋体" w:hAnsi="宋体" w:cs="宋体"/>
          <w:highlight w:val="none"/>
        </w:rPr>
      </w:pPr>
    </w:p>
    <w:bookmarkEnd w:id="23"/>
    <w:p>
      <w:pPr>
        <w:rPr>
          <w:rFonts w:ascii="宋体" w:hAnsi="宋体"/>
          <w:b/>
          <w:color w:val="000000"/>
          <w:sz w:val="28"/>
          <w:szCs w:val="24"/>
          <w:highlight w:val="none"/>
        </w:rPr>
      </w:pPr>
      <w:bookmarkStart w:id="24" w:name="_Toc7710_WPSOffice_Level1"/>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bookmarkEnd w:id="24"/>
    <w:p>
      <w:pPr>
        <w:pStyle w:val="6"/>
        <w:overflowPunct w:val="0"/>
        <w:spacing w:line="500" w:lineRule="exact"/>
        <w:ind w:firstLine="0"/>
        <w:outlineLvl w:val="1"/>
        <w:rPr>
          <w:rFonts w:hint="eastAsia" w:hAnsi="宋体" w:cs="宋体"/>
          <w:b/>
          <w:sz w:val="28"/>
          <w:highlight w:val="none"/>
        </w:rPr>
      </w:pPr>
    </w:p>
    <w:p>
      <w:pPr>
        <w:pStyle w:val="6"/>
        <w:overflowPunct w:val="0"/>
        <w:spacing w:line="500" w:lineRule="exact"/>
        <w:ind w:firstLine="0"/>
        <w:outlineLvl w:val="1"/>
        <w:rPr>
          <w:rFonts w:hAnsi="宋体" w:cs="宋体"/>
          <w:b/>
          <w:color w:val="000000"/>
          <w:sz w:val="28"/>
          <w:highlight w:val="none"/>
        </w:rPr>
      </w:pPr>
      <w:r>
        <w:rPr>
          <w:rFonts w:hint="eastAsia" w:hAnsi="宋体" w:cs="宋体"/>
          <w:b/>
          <w:sz w:val="28"/>
          <w:highlight w:val="none"/>
        </w:rPr>
        <w:t>附件</w:t>
      </w:r>
      <w:r>
        <w:rPr>
          <w:rFonts w:hint="eastAsia" w:hAnsi="宋体" w:cs="宋体"/>
          <w:b/>
          <w:color w:val="000000"/>
          <w:sz w:val="28"/>
          <w:highlight w:val="none"/>
          <w:lang w:val="en-US" w:eastAsia="zh-CN"/>
        </w:rPr>
        <w:t>8</w:t>
      </w:r>
      <w:r>
        <w:rPr>
          <w:rFonts w:hint="eastAsia" w:hAnsi="宋体" w:cs="宋体"/>
          <w:b/>
          <w:color w:val="000000"/>
          <w:sz w:val="28"/>
          <w:highlight w:val="none"/>
        </w:rPr>
        <w:t>：承诺函</w:t>
      </w:r>
    </w:p>
    <w:p>
      <w:pPr>
        <w:pStyle w:val="6"/>
        <w:overflowPunct w:val="0"/>
        <w:spacing w:line="500" w:lineRule="exact"/>
        <w:jc w:val="center"/>
        <w:rPr>
          <w:rFonts w:hAnsi="宋体" w:cs="宋体"/>
          <w:b/>
          <w:color w:val="000000"/>
          <w:sz w:val="30"/>
          <w:highlight w:val="none"/>
        </w:rPr>
      </w:pPr>
      <w:bookmarkStart w:id="25" w:name="_Toc26119_WPSOffice_Level1"/>
      <w:r>
        <w:rPr>
          <w:rFonts w:hint="eastAsia" w:hAnsi="宋体" w:cs="宋体"/>
          <w:b/>
          <w:color w:val="000000"/>
          <w:sz w:val="30"/>
          <w:highlight w:val="none"/>
        </w:rPr>
        <w:t>承 诺 函</w:t>
      </w:r>
      <w:bookmarkEnd w:id="25"/>
    </w:p>
    <w:p>
      <w:pPr>
        <w:pStyle w:val="6"/>
        <w:overflowPunct w:val="0"/>
        <w:spacing w:line="500" w:lineRule="exact"/>
        <w:jc w:val="center"/>
        <w:rPr>
          <w:rFonts w:hAnsi="宋体" w:cs="宋体"/>
          <w:color w:val="000000"/>
          <w:highlight w:val="none"/>
        </w:rPr>
      </w:pPr>
    </w:p>
    <w:p>
      <w:pPr>
        <w:pStyle w:val="6"/>
        <w:overflowPunct w:val="0"/>
        <w:spacing w:line="500" w:lineRule="exact"/>
        <w:ind w:firstLine="0"/>
        <w:rPr>
          <w:rFonts w:hAnsi="宋体" w:cs="宋体"/>
          <w:color w:val="000000"/>
          <w:highlight w:val="none"/>
        </w:rPr>
      </w:pPr>
      <w:r>
        <w:rPr>
          <w:rFonts w:hint="eastAsia" w:hAnsi="宋体" w:cs="宋体"/>
          <w:color w:val="000000"/>
          <w:highlight w:val="none"/>
          <w:u w:val="single"/>
        </w:rPr>
        <w:t>常州青枫招标有限公司</w:t>
      </w:r>
      <w:r>
        <w:rPr>
          <w:rFonts w:hint="eastAsia" w:hAnsi="宋体" w:cs="宋体"/>
          <w:color w:val="000000"/>
          <w:highlight w:val="none"/>
        </w:rPr>
        <w:t>：</w:t>
      </w:r>
    </w:p>
    <w:p>
      <w:pPr>
        <w:pStyle w:val="6"/>
        <w:overflowPunct w:val="0"/>
        <w:spacing w:line="500" w:lineRule="exact"/>
        <w:ind w:firstLine="660"/>
        <w:rPr>
          <w:rFonts w:hAnsi="宋体" w:cs="宋体"/>
          <w:color w:val="000000"/>
          <w:highlight w:val="none"/>
        </w:rPr>
      </w:pPr>
    </w:p>
    <w:p>
      <w:pPr>
        <w:pStyle w:val="6"/>
        <w:keepNext w:val="0"/>
        <w:keepLines w:val="0"/>
        <w:pageBreakBefore w:val="0"/>
        <w:widowControl w:val="0"/>
        <w:kinsoku/>
        <w:wordWrap/>
        <w:overflowPunct w:val="0"/>
        <w:topLinePunct w:val="0"/>
        <w:bidi w:val="0"/>
        <w:snapToGrid/>
        <w:spacing w:line="500" w:lineRule="exact"/>
        <w:ind w:left="0" w:leftChars="0" w:firstLine="480" w:firstLineChars="200"/>
        <w:textAlignment w:val="auto"/>
        <w:rPr>
          <w:rFonts w:hAnsi="宋体" w:cs="宋体"/>
          <w:highlight w:val="none"/>
        </w:rPr>
      </w:pPr>
      <w:r>
        <w:rPr>
          <w:rFonts w:hint="eastAsia" w:hAnsi="宋体" w:cs="宋体"/>
          <w:highlight w:val="none"/>
        </w:rPr>
        <w:t>本公司愿意参加贵公司组织实施的编号为</w:t>
      </w:r>
      <w:r>
        <w:rPr>
          <w:rFonts w:hint="eastAsia" w:hAnsi="宋体" w:cs="宋体"/>
          <w:highlight w:val="none"/>
          <w:u w:val="single"/>
          <w:lang w:val="en-US" w:eastAsia="zh-CN"/>
        </w:rPr>
        <w:t xml:space="preserve">               </w:t>
      </w:r>
      <w:r>
        <w:rPr>
          <w:rFonts w:hint="eastAsia" w:hAnsi="宋体" w:cs="宋体"/>
          <w:highlight w:val="none"/>
        </w:rPr>
        <w:t>号的采购活动。本公司承诺：</w:t>
      </w:r>
    </w:p>
    <w:p>
      <w:pPr>
        <w:pStyle w:val="6"/>
        <w:keepNext w:val="0"/>
        <w:keepLines w:val="0"/>
        <w:pageBreakBefore w:val="0"/>
        <w:widowControl w:val="0"/>
        <w:kinsoku/>
        <w:wordWrap/>
        <w:overflowPunct w:val="0"/>
        <w:topLinePunct w:val="0"/>
        <w:bidi w:val="0"/>
        <w:snapToGrid/>
        <w:spacing w:line="500" w:lineRule="exact"/>
        <w:ind w:left="0" w:leftChars="0" w:firstLine="480" w:firstLineChars="200"/>
        <w:textAlignment w:val="auto"/>
        <w:rPr>
          <w:rFonts w:hAnsi="宋体" w:cs="宋体"/>
          <w:highlight w:val="none"/>
        </w:rPr>
      </w:pPr>
      <w:r>
        <w:rPr>
          <w:rFonts w:hint="eastAsia" w:hAnsi="宋体" w:cs="宋体"/>
          <w:highlight w:val="none"/>
        </w:rPr>
        <w:t>1.本公司依法缴纳税收和社会保障资金；</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2.本公司参加采购活动前三年内，在经营活动中无重大违法记录或无不良行为记录，无其他法律、行政法规规定的禁止参与采购活动的行为；</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3.本公司提交的响应文件中所有关于供应商资格的文件、证明和陈述均是真实的、准确的。</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若与真实情况不符，本公司愿意承担由此而产生的一切后果。</w:t>
      </w:r>
    </w:p>
    <w:p>
      <w:pPr>
        <w:pStyle w:val="6"/>
        <w:overflowPunct w:val="0"/>
        <w:spacing w:line="500" w:lineRule="exact"/>
        <w:rPr>
          <w:rFonts w:hAnsi="宋体" w:cs="宋体"/>
          <w:highlight w:val="none"/>
        </w:rPr>
      </w:pPr>
    </w:p>
    <w:p>
      <w:pPr>
        <w:rPr>
          <w:rFonts w:ascii="宋体" w:hAnsi="宋体" w:cs="宋体"/>
          <w:highlight w:val="none"/>
        </w:rPr>
      </w:pPr>
    </w:p>
    <w:p>
      <w:pPr>
        <w:pStyle w:val="2"/>
        <w:ind w:leftChars="1700" w:firstLine="0"/>
        <w:rPr>
          <w:rFonts w:ascii="宋体" w:hAnsi="宋体" w:cs="宋体"/>
          <w:color w:val="000000"/>
          <w:sz w:val="24"/>
          <w:highlight w:val="none"/>
        </w:rPr>
      </w:pPr>
      <w:r>
        <w:rPr>
          <w:rFonts w:hint="eastAsia" w:ascii="宋体" w:hAnsi="宋体" w:cs="宋体"/>
          <w:color w:val="000000"/>
          <w:sz w:val="24"/>
          <w:highlight w:val="none"/>
        </w:rPr>
        <w:t xml:space="preserve">供应商（盖章）：                    </w:t>
      </w:r>
    </w:p>
    <w:p>
      <w:pPr>
        <w:pStyle w:val="2"/>
        <w:ind w:leftChars="1700" w:firstLine="0"/>
        <w:rPr>
          <w:rFonts w:ascii="宋体" w:hAnsi="宋体" w:cs="宋体"/>
          <w:color w:val="000000"/>
          <w:sz w:val="24"/>
          <w:highlight w:val="none"/>
        </w:rPr>
      </w:pPr>
    </w:p>
    <w:p>
      <w:pPr>
        <w:pStyle w:val="2"/>
        <w:ind w:leftChars="1700" w:firstLine="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法定代表人或代理人（签字或盖章）：</w:t>
      </w:r>
    </w:p>
    <w:p>
      <w:pPr>
        <w:pStyle w:val="2"/>
        <w:ind w:leftChars="1700" w:firstLine="0"/>
        <w:rPr>
          <w:rFonts w:hint="eastAsia" w:ascii="宋体" w:hAnsi="宋体" w:eastAsia="宋体" w:cs="宋体"/>
          <w:color w:val="000000"/>
          <w:sz w:val="24"/>
          <w:highlight w:val="none"/>
        </w:rPr>
      </w:pPr>
    </w:p>
    <w:p>
      <w:pPr>
        <w:pStyle w:val="2"/>
        <w:ind w:leftChars="1700" w:firstLine="0"/>
        <w:rPr>
          <w:rFonts w:hint="eastAsia" w:ascii="宋体" w:hAnsi="宋体" w:eastAsia="宋体" w:cs="宋体"/>
          <w:color w:val="000000"/>
          <w:sz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color w:val="000000"/>
          <w:sz w:val="24"/>
          <w:highlight w:val="none"/>
        </w:rPr>
        <w:t>日期：   年  月  日</w:t>
      </w:r>
    </w:p>
    <w:p>
      <w:pPr>
        <w:jc w:val="center"/>
        <w:outlineLvl w:val="1"/>
        <w:rPr>
          <w:rFonts w:ascii="宋体" w:hAnsi="宋体" w:cs="宋体"/>
          <w:b/>
          <w:sz w:val="32"/>
          <w:szCs w:val="32"/>
          <w:highlight w:val="none"/>
        </w:rPr>
      </w:pPr>
      <w:r>
        <w:rPr>
          <w:rFonts w:hint="eastAsia" w:ascii="宋体" w:hAnsi="宋体" w:cs="宋体"/>
          <w:b/>
          <w:sz w:val="32"/>
          <w:szCs w:val="32"/>
          <w:highlight w:val="none"/>
        </w:rPr>
        <w:t>友 情 提 醒</w:t>
      </w:r>
    </w:p>
    <w:p>
      <w:pPr>
        <w:spacing w:line="420" w:lineRule="exact"/>
        <w:rPr>
          <w:rFonts w:ascii="宋体" w:hAnsi="宋体" w:cs="宋体"/>
          <w:sz w:val="24"/>
          <w:szCs w:val="24"/>
          <w:highlight w:val="none"/>
        </w:rPr>
      </w:pPr>
      <w:r>
        <w:rPr>
          <w:rFonts w:hint="eastAsia" w:ascii="宋体" w:hAnsi="宋体" w:cs="宋体"/>
          <w:sz w:val="24"/>
          <w:szCs w:val="24"/>
          <w:highlight w:val="none"/>
        </w:rPr>
        <w:t>尊敬的供应商及项目参与人：</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为了提高贵单位的标书有效性，减少不必要的废标情况发生，特友情提醒注意以下几点：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请注意谈判文件上表述的</w:t>
      </w:r>
      <w:r>
        <w:rPr>
          <w:rFonts w:hint="eastAsia" w:ascii="宋体" w:hAnsi="宋体" w:cs="宋体"/>
          <w:b/>
          <w:sz w:val="24"/>
          <w:szCs w:val="24"/>
          <w:highlight w:val="none"/>
        </w:rPr>
        <w:t>各项事宜时间节点</w:t>
      </w:r>
      <w:r>
        <w:rPr>
          <w:rFonts w:hint="eastAsia" w:ascii="宋体" w:hAnsi="宋体" w:cs="宋体"/>
          <w:sz w:val="24"/>
          <w:szCs w:val="24"/>
          <w:highlight w:val="none"/>
        </w:rPr>
        <w:t>，特别是</w:t>
      </w:r>
      <w:r>
        <w:rPr>
          <w:rFonts w:hint="eastAsia" w:ascii="宋体" w:hAnsi="宋体" w:cs="宋体"/>
          <w:b/>
          <w:sz w:val="24"/>
          <w:szCs w:val="24"/>
          <w:highlight w:val="none"/>
        </w:rPr>
        <w:t>谈判时间和地点</w:t>
      </w:r>
      <w:r>
        <w:rPr>
          <w:rFonts w:hint="eastAsia" w:ascii="宋体" w:hAnsi="宋体" w:cs="宋体"/>
          <w:sz w:val="24"/>
          <w:szCs w:val="24"/>
          <w:highlight w:val="none"/>
        </w:rPr>
        <w:t>，谈判开始后，迟到的按相关规定将一律不得进入开标室。同时涉及到投标项目的所有投标材料及相关人员均须在谈判截止时间前到达谈判现场。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谈判保证金一定要从对公账户按谈判文件规定的方式和时间缴至指定</w:t>
      </w:r>
      <w:r>
        <w:rPr>
          <w:rFonts w:hint="eastAsia" w:ascii="宋体" w:hAnsi="宋体" w:cs="宋体"/>
          <w:sz w:val="24"/>
          <w:szCs w:val="24"/>
          <w:highlight w:val="none"/>
          <w:lang w:eastAsia="zh-CN"/>
        </w:rPr>
        <w:t>账</w:t>
      </w:r>
      <w:r>
        <w:rPr>
          <w:rFonts w:hint="eastAsia" w:ascii="宋体" w:hAnsi="宋体" w:cs="宋体"/>
          <w:sz w:val="24"/>
          <w:szCs w:val="24"/>
          <w:highlight w:val="none"/>
        </w:rPr>
        <w:t>户并到</w:t>
      </w:r>
      <w:r>
        <w:rPr>
          <w:rFonts w:hint="eastAsia" w:ascii="宋体" w:hAnsi="宋体" w:cs="宋体"/>
          <w:sz w:val="24"/>
          <w:szCs w:val="24"/>
          <w:highlight w:val="none"/>
          <w:lang w:eastAsia="zh-CN"/>
        </w:rPr>
        <w:t>账</w:t>
      </w:r>
      <w:r>
        <w:rPr>
          <w:rFonts w:hint="eastAsia" w:ascii="宋体" w:hAnsi="宋体" w:cs="宋体"/>
          <w:sz w:val="24"/>
          <w:szCs w:val="24"/>
          <w:highlight w:val="none"/>
        </w:rPr>
        <w:t>，拒绝以其它方式缴纳，禁止第三方代缴保证金。中标公示结束无特殊情况后，我们仅会将</w:t>
      </w:r>
      <w:r>
        <w:rPr>
          <w:rFonts w:hint="eastAsia" w:ascii="宋体" w:hAnsi="宋体" w:cs="宋体"/>
          <w:sz w:val="24"/>
          <w:szCs w:val="24"/>
          <w:highlight w:val="none"/>
          <w:lang w:eastAsia="zh-CN"/>
        </w:rPr>
        <w:t>谈判保证金</w:t>
      </w:r>
      <w:r>
        <w:rPr>
          <w:rFonts w:hint="eastAsia" w:ascii="宋体" w:hAnsi="宋体" w:cs="宋体"/>
          <w:sz w:val="24"/>
          <w:szCs w:val="24"/>
          <w:highlight w:val="none"/>
        </w:rPr>
        <w:t>（无息）退还至您的对公账户。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响应文件正副本分开</w:t>
      </w:r>
      <w:r>
        <w:rPr>
          <w:rFonts w:hint="eastAsia" w:ascii="宋体" w:hAnsi="宋体" w:cs="宋体"/>
          <w:b/>
          <w:sz w:val="24"/>
          <w:szCs w:val="24"/>
          <w:highlight w:val="none"/>
        </w:rPr>
        <w:t>密封</w:t>
      </w:r>
      <w:r>
        <w:rPr>
          <w:rFonts w:hint="eastAsia" w:ascii="宋体" w:hAnsi="宋体" w:cs="宋体"/>
          <w:sz w:val="24"/>
          <w:szCs w:val="24"/>
          <w:highlight w:val="none"/>
        </w:rPr>
        <w:t>并在封袋骑缝处加盖</w:t>
      </w:r>
      <w:r>
        <w:rPr>
          <w:rFonts w:hint="eastAsia" w:ascii="宋体" w:hAnsi="宋体" w:cs="宋体"/>
          <w:b/>
          <w:bCs/>
          <w:sz w:val="24"/>
          <w:szCs w:val="24"/>
          <w:highlight w:val="none"/>
        </w:rPr>
        <w:t>供应商</w:t>
      </w:r>
      <w:r>
        <w:rPr>
          <w:rFonts w:hint="eastAsia" w:ascii="宋体" w:hAnsi="宋体" w:cs="宋体"/>
          <w:b/>
          <w:sz w:val="24"/>
          <w:szCs w:val="24"/>
          <w:highlight w:val="none"/>
        </w:rPr>
        <w:t>公章</w:t>
      </w:r>
      <w:r>
        <w:rPr>
          <w:rFonts w:hint="eastAsia" w:ascii="宋体" w:hAnsi="宋体" w:cs="宋体"/>
          <w:sz w:val="24"/>
          <w:szCs w:val="24"/>
          <w:highlight w:val="none"/>
        </w:rPr>
        <w:t>。资格证明材料提供复印件的必须加盖</w:t>
      </w:r>
      <w:r>
        <w:rPr>
          <w:rFonts w:hint="eastAsia" w:ascii="宋体" w:hAnsi="宋体" w:cs="宋体"/>
          <w:b/>
          <w:sz w:val="24"/>
          <w:szCs w:val="24"/>
          <w:highlight w:val="none"/>
        </w:rPr>
        <w:t>公章</w:t>
      </w:r>
      <w:r>
        <w:rPr>
          <w:rFonts w:hint="eastAsia" w:ascii="宋体" w:hAnsi="宋体" w:cs="宋体"/>
          <w:sz w:val="24"/>
          <w:szCs w:val="24"/>
          <w:highlight w:val="none"/>
        </w:rPr>
        <w:t>，有要求提供原件的必须提供</w:t>
      </w:r>
      <w:r>
        <w:rPr>
          <w:rFonts w:hint="eastAsia" w:ascii="宋体" w:hAnsi="宋体" w:cs="宋体"/>
          <w:b/>
          <w:sz w:val="24"/>
          <w:szCs w:val="24"/>
          <w:highlight w:val="none"/>
        </w:rPr>
        <w:t>原件</w:t>
      </w:r>
      <w:r>
        <w:rPr>
          <w:rFonts w:hint="eastAsia" w:ascii="宋体" w:hAnsi="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需要提供样品的，请严格按谈判文件要求的</w:t>
      </w:r>
      <w:r>
        <w:rPr>
          <w:rFonts w:hint="eastAsia" w:ascii="宋体" w:hAnsi="宋体" w:cs="宋体"/>
          <w:b/>
          <w:sz w:val="24"/>
          <w:szCs w:val="24"/>
          <w:highlight w:val="none"/>
        </w:rPr>
        <w:t>规格、时间</w:t>
      </w:r>
      <w:r>
        <w:rPr>
          <w:rFonts w:hint="eastAsia" w:ascii="宋体" w:hAnsi="宋体" w:cs="宋体"/>
          <w:sz w:val="24"/>
          <w:szCs w:val="24"/>
          <w:highlight w:val="none"/>
        </w:rPr>
        <w:t>提供。同时注意</w:t>
      </w:r>
      <w:r>
        <w:rPr>
          <w:rFonts w:hint="eastAsia" w:ascii="宋体" w:hAnsi="宋体" w:cs="宋体"/>
          <w:b/>
          <w:sz w:val="24"/>
          <w:szCs w:val="24"/>
          <w:highlight w:val="none"/>
        </w:rPr>
        <w:t>密封、隐蔽</w:t>
      </w:r>
      <w:r>
        <w:rPr>
          <w:rFonts w:hint="eastAsia" w:ascii="宋体" w:hAnsi="宋体" w:cs="宋体"/>
          <w:sz w:val="24"/>
          <w:szCs w:val="24"/>
          <w:highlight w:val="none"/>
        </w:rPr>
        <w:t>标签等相关要求。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因谈判文件文字表述有限，如项目可踏勘现场的，建议贵单位</w:t>
      </w:r>
      <w:r>
        <w:rPr>
          <w:rFonts w:hint="eastAsia" w:ascii="宋体" w:hAnsi="宋体" w:cs="宋体"/>
          <w:b/>
          <w:sz w:val="24"/>
          <w:szCs w:val="24"/>
          <w:highlight w:val="none"/>
        </w:rPr>
        <w:t>现场踏勘</w:t>
      </w:r>
      <w:r>
        <w:rPr>
          <w:rFonts w:hint="eastAsia" w:ascii="宋体" w:hAnsi="宋体" w:cs="宋体"/>
          <w:sz w:val="24"/>
          <w:szCs w:val="24"/>
          <w:highlight w:val="none"/>
        </w:rPr>
        <w:t>，可以在投标前充分了解现场环境、</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要求和质量要求等信息，为贵单位有针对性的制作响应文件积累充分的原始资料。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设定</w:t>
      </w:r>
      <w:r>
        <w:rPr>
          <w:rFonts w:hint="eastAsia" w:ascii="宋体" w:hAnsi="宋体" w:cs="宋体"/>
          <w:b/>
          <w:sz w:val="24"/>
          <w:szCs w:val="24"/>
          <w:highlight w:val="none"/>
        </w:rPr>
        <w:t>最高限价</w:t>
      </w:r>
      <w:r>
        <w:rPr>
          <w:rFonts w:hint="eastAsia" w:ascii="宋体" w:hAnsi="宋体" w:cs="宋体"/>
          <w:sz w:val="24"/>
          <w:szCs w:val="24"/>
          <w:highlight w:val="none"/>
        </w:rPr>
        <w:t>的，</w:t>
      </w:r>
      <w:r>
        <w:rPr>
          <w:rFonts w:hint="eastAsia" w:ascii="宋体" w:hAnsi="宋体" w:eastAsia="宋体" w:cs="宋体"/>
          <w:sz w:val="24"/>
          <w:szCs w:val="24"/>
          <w:highlight w:val="none"/>
        </w:rPr>
        <w:t>超过限价一律</w:t>
      </w:r>
      <w:r>
        <w:rPr>
          <w:rFonts w:hint="eastAsia" w:ascii="宋体" w:hAnsi="宋体" w:eastAsia="宋体" w:cs="宋体"/>
          <w:sz w:val="24"/>
          <w:szCs w:val="24"/>
          <w:highlight w:val="none"/>
          <w:lang w:val="en-US" w:eastAsia="zh-CN"/>
        </w:rPr>
        <w:t>视为无效响应</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请仔细</w:t>
      </w:r>
      <w:r>
        <w:rPr>
          <w:rFonts w:hint="eastAsia" w:ascii="宋体" w:hAnsi="宋体" w:cs="宋体"/>
          <w:b/>
          <w:sz w:val="24"/>
          <w:szCs w:val="24"/>
          <w:highlight w:val="none"/>
        </w:rPr>
        <w:t>审阅谈判文件,特别是黑体字</w:t>
      </w:r>
      <w:r>
        <w:rPr>
          <w:rFonts w:hint="eastAsia" w:ascii="宋体" w:hAnsi="宋体" w:cs="宋体"/>
          <w:sz w:val="24"/>
          <w:szCs w:val="24"/>
          <w:highlight w:val="none"/>
        </w:rPr>
        <w:t>。如有疑问，请按谈判文件要求进行询疑。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本谈判文件的最终解释权归常州青枫招标有限公司所有。</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在此我们也诚恳地希望贵单位能对我们的招标组织工作提出宝贵意见，联系电话0519-88119558、0519-88119550。</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最后祝您投标成功！</w:t>
      </w:r>
    </w:p>
    <w:p>
      <w:pPr>
        <w:widowControl/>
        <w:wordWrap w:val="0"/>
        <w:spacing w:line="560" w:lineRule="exact"/>
        <w:jc w:val="center"/>
        <w:rPr>
          <w:rFonts w:ascii="宋体" w:hAnsi="宋体" w:cs="宋体"/>
          <w:sz w:val="25"/>
          <w:szCs w:val="25"/>
          <w:highlight w:val="none"/>
        </w:rPr>
      </w:pPr>
    </w:p>
    <w:p>
      <w:pPr>
        <w:widowControl/>
        <w:wordWrap w:val="0"/>
        <w:spacing w:line="560" w:lineRule="exact"/>
        <w:jc w:val="right"/>
        <w:rPr>
          <w:rFonts w:ascii="宋体" w:hAnsi="宋体" w:cs="宋体"/>
          <w:sz w:val="25"/>
          <w:szCs w:val="25"/>
          <w:highlight w:val="none"/>
        </w:rPr>
      </w:pPr>
      <w:r>
        <w:rPr>
          <w:rFonts w:hint="eastAsia" w:ascii="宋体" w:hAnsi="宋体" w:cs="宋体"/>
          <w:sz w:val="28"/>
          <w:szCs w:val="28"/>
          <w:highlight w:val="none"/>
        </w:rPr>
        <w:t>常州青枫招标有限公司</w:t>
      </w:r>
    </w:p>
    <w:p>
      <w:pPr>
        <w:rPr>
          <w:rFonts w:ascii="宋体" w:hAnsi="宋体" w:cs="宋体"/>
          <w:b/>
          <w:sz w:val="32"/>
          <w:highlight w:val="none"/>
        </w:rPr>
      </w:pPr>
    </w:p>
    <w:p>
      <w:pPr>
        <w:jc w:val="center"/>
        <w:rPr>
          <w:rFonts w:ascii="宋体" w:hAnsi="宋体" w:cs="宋体"/>
          <w:bCs/>
          <w:sz w:val="24"/>
          <w:szCs w:val="24"/>
          <w:highlight w:val="none"/>
        </w:rPr>
      </w:pPr>
      <w:r>
        <w:rPr>
          <w:rFonts w:hint="eastAsia" w:ascii="宋体" w:hAnsi="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文本框 309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hfO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FZ1YYGvj5+7fzj5/nu6/s&#10;aX71LC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5hfh&#10;fO4BAADXAwAADgAAAAAAAAABACAAAAAeAQAAZHJzL2Uyb0RvYy54bWxQSwUGAAAAAAYABgBZAQAA&#10;fgUAAAAA&#10;">
          <v:path/>
          <v:fill on="f" focussize="0,0"/>
          <v:stroke on="f" joinstyle="miter"/>
          <v:imagedata o:title=""/>
          <o:lock v:ext="edit"/>
          <v:textbox inset="0mm,0mm,0mm,0mm" style="mso-fit-shape-to-text:t;">
            <w:txbxContent>
              <w:p>
                <w:pPr>
                  <w:pStyle w:val="2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1"/>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文本框 309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agb3&#10;R+4BAADXAwAADgAAAAAAAAABACAAAAAeAQAAZHJzL2Uyb0RvYy54bWxQSwUGAAAAAAYABgBZAQAA&#10;fgUAAAAA&#10;">
          <v:path/>
          <v:fill on="f" focussize="0,0"/>
          <v:stroke on="f" joinstyle="miter"/>
          <v:imagedata o:title=""/>
          <o:lock v:ext="edit"/>
          <v:textbox inset="0mm,0mm,0mm,0mm" style="mso-fit-shape-to-text:t;">
            <w:txbxContent>
              <w:p>
                <w:pPr>
                  <w:pStyle w:val="21"/>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1"/>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宋体" w:hAnsi="宋体" w:cs="宋体"/>
        <w:szCs w:val="16"/>
      </w:rPr>
    </w:pPr>
    <w:r>
      <w:rPr>
        <w:sz w:val="18"/>
      </w:rPr>
      <w:pict>
        <v:shape id="文本框 309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GHme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ZZ1YYGvj5+7fzj5/nu6/s&#10;aX71Ii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pvGH&#10;me4BAADXAwAADgAAAAAAAAABACAAAAAeAQAAZHJzL2Uyb0RvYy54bWxQSwUGAAAAAAYABgBZAQAA&#10;fgUAAAAA&#10;">
          <v:path/>
          <v:fill on="f" focussize="0,0"/>
          <v:stroke on="f" joinstyle="miter"/>
          <v:imagedata o:title=""/>
          <o:lock v:ext="edit"/>
          <v:textbox inset="0mm,0mm,0mm,0mm" style="mso-fit-shape-to-text:t;">
            <w:txbxContent>
              <w:p>
                <w:pPr>
                  <w:pStyle w:val="21"/>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5YTk2NWU3OTRhNTU0YjZlNWE0ODExMjY4YzM0MTgifQ=="/>
  </w:docVars>
  <w:rsids>
    <w:rsidRoot w:val="00172A27"/>
    <w:rsid w:val="00027A41"/>
    <w:rsid w:val="00050EF1"/>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52E41"/>
    <w:rsid w:val="00394E86"/>
    <w:rsid w:val="003B0EF8"/>
    <w:rsid w:val="003E61A1"/>
    <w:rsid w:val="00406E5E"/>
    <w:rsid w:val="004B0A46"/>
    <w:rsid w:val="004C210D"/>
    <w:rsid w:val="004C6FAE"/>
    <w:rsid w:val="004E6A7E"/>
    <w:rsid w:val="004E797C"/>
    <w:rsid w:val="0050662C"/>
    <w:rsid w:val="0051349E"/>
    <w:rsid w:val="00513A47"/>
    <w:rsid w:val="005143AA"/>
    <w:rsid w:val="00532E06"/>
    <w:rsid w:val="00541447"/>
    <w:rsid w:val="00554CBB"/>
    <w:rsid w:val="00554E8B"/>
    <w:rsid w:val="00555567"/>
    <w:rsid w:val="00567DA3"/>
    <w:rsid w:val="0057098E"/>
    <w:rsid w:val="00586B9E"/>
    <w:rsid w:val="00594F42"/>
    <w:rsid w:val="005C7036"/>
    <w:rsid w:val="00627C1C"/>
    <w:rsid w:val="00630823"/>
    <w:rsid w:val="00660532"/>
    <w:rsid w:val="00674E08"/>
    <w:rsid w:val="0067534F"/>
    <w:rsid w:val="00696A4D"/>
    <w:rsid w:val="006D313B"/>
    <w:rsid w:val="00751E67"/>
    <w:rsid w:val="00793886"/>
    <w:rsid w:val="007F6B00"/>
    <w:rsid w:val="00845843"/>
    <w:rsid w:val="0087515F"/>
    <w:rsid w:val="008D7566"/>
    <w:rsid w:val="008F7EE4"/>
    <w:rsid w:val="00924262"/>
    <w:rsid w:val="0094201B"/>
    <w:rsid w:val="009461C3"/>
    <w:rsid w:val="00947B8A"/>
    <w:rsid w:val="00964581"/>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C00501"/>
    <w:rsid w:val="00C018EC"/>
    <w:rsid w:val="00C14B91"/>
    <w:rsid w:val="00C21162"/>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01BD2"/>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C7B2D"/>
    <w:rsid w:val="033E696D"/>
    <w:rsid w:val="035856C4"/>
    <w:rsid w:val="03600692"/>
    <w:rsid w:val="03896F98"/>
    <w:rsid w:val="039C67FB"/>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D1736D"/>
    <w:rsid w:val="04E85D84"/>
    <w:rsid w:val="04EB6168"/>
    <w:rsid w:val="04F93EE6"/>
    <w:rsid w:val="04FD6796"/>
    <w:rsid w:val="05031975"/>
    <w:rsid w:val="05153567"/>
    <w:rsid w:val="051817CE"/>
    <w:rsid w:val="05257E37"/>
    <w:rsid w:val="053525C0"/>
    <w:rsid w:val="053D150D"/>
    <w:rsid w:val="05610102"/>
    <w:rsid w:val="05AE3CE2"/>
    <w:rsid w:val="05E50845"/>
    <w:rsid w:val="05E95A04"/>
    <w:rsid w:val="06103818"/>
    <w:rsid w:val="062C0CFF"/>
    <w:rsid w:val="063310CA"/>
    <w:rsid w:val="06390D82"/>
    <w:rsid w:val="06456265"/>
    <w:rsid w:val="065D5D87"/>
    <w:rsid w:val="066F6E3E"/>
    <w:rsid w:val="06954AF6"/>
    <w:rsid w:val="06C65BF7"/>
    <w:rsid w:val="06CF42C7"/>
    <w:rsid w:val="06D65ED9"/>
    <w:rsid w:val="06DE4AB8"/>
    <w:rsid w:val="06F85A8F"/>
    <w:rsid w:val="073D2979"/>
    <w:rsid w:val="07520C3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973C0F"/>
    <w:rsid w:val="09194649"/>
    <w:rsid w:val="09205831"/>
    <w:rsid w:val="09232C73"/>
    <w:rsid w:val="09292AA6"/>
    <w:rsid w:val="094A4E24"/>
    <w:rsid w:val="094D16B8"/>
    <w:rsid w:val="09622C8A"/>
    <w:rsid w:val="096737A6"/>
    <w:rsid w:val="097074E6"/>
    <w:rsid w:val="097A6F52"/>
    <w:rsid w:val="09936110"/>
    <w:rsid w:val="09994E4C"/>
    <w:rsid w:val="099C315A"/>
    <w:rsid w:val="09A370FB"/>
    <w:rsid w:val="09AC5F31"/>
    <w:rsid w:val="09E518F1"/>
    <w:rsid w:val="0A1E135A"/>
    <w:rsid w:val="0A2218A6"/>
    <w:rsid w:val="0A250002"/>
    <w:rsid w:val="0A334D52"/>
    <w:rsid w:val="0A422E3D"/>
    <w:rsid w:val="0A4610DE"/>
    <w:rsid w:val="0A4644A4"/>
    <w:rsid w:val="0A516F86"/>
    <w:rsid w:val="0A740691"/>
    <w:rsid w:val="0A7E7929"/>
    <w:rsid w:val="0A97326B"/>
    <w:rsid w:val="0A9D6B1E"/>
    <w:rsid w:val="0AA545D3"/>
    <w:rsid w:val="0ABD286D"/>
    <w:rsid w:val="0ACE4A7B"/>
    <w:rsid w:val="0AEE5A03"/>
    <w:rsid w:val="0B150779"/>
    <w:rsid w:val="0B2F6DCA"/>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8376B0"/>
    <w:rsid w:val="0DA87245"/>
    <w:rsid w:val="0DB177EA"/>
    <w:rsid w:val="0DD105A1"/>
    <w:rsid w:val="0DEE41A4"/>
    <w:rsid w:val="0E2347B0"/>
    <w:rsid w:val="0E2F2715"/>
    <w:rsid w:val="0E382A31"/>
    <w:rsid w:val="0E3E5B6D"/>
    <w:rsid w:val="0E47192E"/>
    <w:rsid w:val="0E720208"/>
    <w:rsid w:val="0E8042DE"/>
    <w:rsid w:val="0EA0672E"/>
    <w:rsid w:val="0EB43F87"/>
    <w:rsid w:val="0EEF43E1"/>
    <w:rsid w:val="0F057D42"/>
    <w:rsid w:val="0F1D4120"/>
    <w:rsid w:val="0F285443"/>
    <w:rsid w:val="0F380715"/>
    <w:rsid w:val="0F6231F8"/>
    <w:rsid w:val="0F700938"/>
    <w:rsid w:val="0FB2264C"/>
    <w:rsid w:val="0FB41C05"/>
    <w:rsid w:val="101C51BE"/>
    <w:rsid w:val="10291D6A"/>
    <w:rsid w:val="10502C0A"/>
    <w:rsid w:val="107355DB"/>
    <w:rsid w:val="10757746"/>
    <w:rsid w:val="108267DE"/>
    <w:rsid w:val="10A02A15"/>
    <w:rsid w:val="10AB756D"/>
    <w:rsid w:val="10B7526B"/>
    <w:rsid w:val="10C10D6E"/>
    <w:rsid w:val="10FF3E88"/>
    <w:rsid w:val="112A5B8F"/>
    <w:rsid w:val="114A1A65"/>
    <w:rsid w:val="11570677"/>
    <w:rsid w:val="117C7027"/>
    <w:rsid w:val="11965BC6"/>
    <w:rsid w:val="11A57F91"/>
    <w:rsid w:val="11AC63EF"/>
    <w:rsid w:val="11C97D4A"/>
    <w:rsid w:val="11EE6B20"/>
    <w:rsid w:val="11FC523F"/>
    <w:rsid w:val="120C002D"/>
    <w:rsid w:val="124D51C4"/>
    <w:rsid w:val="124F4986"/>
    <w:rsid w:val="12676EB0"/>
    <w:rsid w:val="12774AB4"/>
    <w:rsid w:val="128D10E1"/>
    <w:rsid w:val="12C11FB3"/>
    <w:rsid w:val="12EA0A43"/>
    <w:rsid w:val="131358F0"/>
    <w:rsid w:val="133024D1"/>
    <w:rsid w:val="13374963"/>
    <w:rsid w:val="137B1518"/>
    <w:rsid w:val="139B36C7"/>
    <w:rsid w:val="13BB7B66"/>
    <w:rsid w:val="13C40D94"/>
    <w:rsid w:val="13C52BBC"/>
    <w:rsid w:val="13CF2C28"/>
    <w:rsid w:val="13D103D4"/>
    <w:rsid w:val="13E412FB"/>
    <w:rsid w:val="140074E9"/>
    <w:rsid w:val="14186D67"/>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50ECA"/>
    <w:rsid w:val="1617584F"/>
    <w:rsid w:val="163051FA"/>
    <w:rsid w:val="16387FC4"/>
    <w:rsid w:val="1684489C"/>
    <w:rsid w:val="16870D46"/>
    <w:rsid w:val="168B1A72"/>
    <w:rsid w:val="16AD7C3A"/>
    <w:rsid w:val="16B9038D"/>
    <w:rsid w:val="16D426C5"/>
    <w:rsid w:val="16F32207"/>
    <w:rsid w:val="16F43089"/>
    <w:rsid w:val="170B4003"/>
    <w:rsid w:val="1714553B"/>
    <w:rsid w:val="172B601E"/>
    <w:rsid w:val="173409F2"/>
    <w:rsid w:val="173914CE"/>
    <w:rsid w:val="174E3C1C"/>
    <w:rsid w:val="176D73C9"/>
    <w:rsid w:val="179E0178"/>
    <w:rsid w:val="179E49B5"/>
    <w:rsid w:val="17BC6937"/>
    <w:rsid w:val="17C52D61"/>
    <w:rsid w:val="17C85CC9"/>
    <w:rsid w:val="17D905BB"/>
    <w:rsid w:val="17DF5B57"/>
    <w:rsid w:val="17EC7880"/>
    <w:rsid w:val="17F16750"/>
    <w:rsid w:val="1845486B"/>
    <w:rsid w:val="185315DA"/>
    <w:rsid w:val="18535B5D"/>
    <w:rsid w:val="185E2241"/>
    <w:rsid w:val="18812808"/>
    <w:rsid w:val="188B5D59"/>
    <w:rsid w:val="18B15973"/>
    <w:rsid w:val="18B5254D"/>
    <w:rsid w:val="18BA4BA1"/>
    <w:rsid w:val="18C30A99"/>
    <w:rsid w:val="18DF30C3"/>
    <w:rsid w:val="191069DF"/>
    <w:rsid w:val="192B67C3"/>
    <w:rsid w:val="193A6FAE"/>
    <w:rsid w:val="193F7650"/>
    <w:rsid w:val="19445242"/>
    <w:rsid w:val="19A63CB5"/>
    <w:rsid w:val="19A74DCD"/>
    <w:rsid w:val="19A82F3D"/>
    <w:rsid w:val="19BA434D"/>
    <w:rsid w:val="19C14ECE"/>
    <w:rsid w:val="19D67574"/>
    <w:rsid w:val="19E3045F"/>
    <w:rsid w:val="1A010D0D"/>
    <w:rsid w:val="1A2E1E21"/>
    <w:rsid w:val="1A4D2796"/>
    <w:rsid w:val="1A574AE4"/>
    <w:rsid w:val="1A6C2068"/>
    <w:rsid w:val="1AA650CC"/>
    <w:rsid w:val="1ABF4BFF"/>
    <w:rsid w:val="1AC834A0"/>
    <w:rsid w:val="1AD145EB"/>
    <w:rsid w:val="1AF074C7"/>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896A53"/>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D74D9"/>
    <w:rsid w:val="1E4F7829"/>
    <w:rsid w:val="1E5720D7"/>
    <w:rsid w:val="1E791675"/>
    <w:rsid w:val="1E914FEE"/>
    <w:rsid w:val="1E9166E3"/>
    <w:rsid w:val="1E96363A"/>
    <w:rsid w:val="1E995462"/>
    <w:rsid w:val="1EAC6D41"/>
    <w:rsid w:val="1EAF7BC7"/>
    <w:rsid w:val="1ED5249F"/>
    <w:rsid w:val="1EDC0AAB"/>
    <w:rsid w:val="1EE01031"/>
    <w:rsid w:val="1F290A19"/>
    <w:rsid w:val="1F345E65"/>
    <w:rsid w:val="1F3D5884"/>
    <w:rsid w:val="1FBE5529"/>
    <w:rsid w:val="1FD646BA"/>
    <w:rsid w:val="1FD91AA0"/>
    <w:rsid w:val="20236E07"/>
    <w:rsid w:val="204252C7"/>
    <w:rsid w:val="20782C59"/>
    <w:rsid w:val="20796FC7"/>
    <w:rsid w:val="207C5F64"/>
    <w:rsid w:val="20B10EF0"/>
    <w:rsid w:val="20B55069"/>
    <w:rsid w:val="20D862BB"/>
    <w:rsid w:val="20DA390D"/>
    <w:rsid w:val="20E71F45"/>
    <w:rsid w:val="20F52881"/>
    <w:rsid w:val="20FC4DE8"/>
    <w:rsid w:val="210462FA"/>
    <w:rsid w:val="213E07D8"/>
    <w:rsid w:val="21565BEE"/>
    <w:rsid w:val="21664D06"/>
    <w:rsid w:val="216E7E18"/>
    <w:rsid w:val="21844572"/>
    <w:rsid w:val="21A22DBB"/>
    <w:rsid w:val="21AF5B36"/>
    <w:rsid w:val="21CC2303"/>
    <w:rsid w:val="21D97609"/>
    <w:rsid w:val="21DF442C"/>
    <w:rsid w:val="21E24502"/>
    <w:rsid w:val="22194CD0"/>
    <w:rsid w:val="22260638"/>
    <w:rsid w:val="22723AE6"/>
    <w:rsid w:val="22A16179"/>
    <w:rsid w:val="22B22D4E"/>
    <w:rsid w:val="22EC5646"/>
    <w:rsid w:val="22F37F07"/>
    <w:rsid w:val="23034E8A"/>
    <w:rsid w:val="2309093C"/>
    <w:rsid w:val="232A174B"/>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E42EB"/>
    <w:rsid w:val="27BA6584"/>
    <w:rsid w:val="27C3795F"/>
    <w:rsid w:val="27C45118"/>
    <w:rsid w:val="27DF1C1D"/>
    <w:rsid w:val="280451E0"/>
    <w:rsid w:val="28046877"/>
    <w:rsid w:val="28187324"/>
    <w:rsid w:val="282B4E63"/>
    <w:rsid w:val="283F3CE3"/>
    <w:rsid w:val="2856448E"/>
    <w:rsid w:val="286B0CB3"/>
    <w:rsid w:val="287303DB"/>
    <w:rsid w:val="28814C28"/>
    <w:rsid w:val="28AA5575"/>
    <w:rsid w:val="28D56B7C"/>
    <w:rsid w:val="28FB7EAD"/>
    <w:rsid w:val="294E660E"/>
    <w:rsid w:val="294F3FF8"/>
    <w:rsid w:val="29645378"/>
    <w:rsid w:val="29655843"/>
    <w:rsid w:val="296D4069"/>
    <w:rsid w:val="299C47D4"/>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40BAE"/>
    <w:rsid w:val="2C497E6F"/>
    <w:rsid w:val="2CD12A87"/>
    <w:rsid w:val="2CD93C10"/>
    <w:rsid w:val="2CEC6873"/>
    <w:rsid w:val="2D323DEE"/>
    <w:rsid w:val="2D37269B"/>
    <w:rsid w:val="2D485B6F"/>
    <w:rsid w:val="2D517119"/>
    <w:rsid w:val="2D5C786C"/>
    <w:rsid w:val="2DA90D03"/>
    <w:rsid w:val="2DCB13B3"/>
    <w:rsid w:val="2DDB69E3"/>
    <w:rsid w:val="2DEB5563"/>
    <w:rsid w:val="2DF36C40"/>
    <w:rsid w:val="2E232138"/>
    <w:rsid w:val="2E46262D"/>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7F3F9D"/>
    <w:rsid w:val="30826457"/>
    <w:rsid w:val="308E432D"/>
    <w:rsid w:val="309537C1"/>
    <w:rsid w:val="309C7E9B"/>
    <w:rsid w:val="309E4D76"/>
    <w:rsid w:val="309F63EE"/>
    <w:rsid w:val="30B41061"/>
    <w:rsid w:val="30BC0D4E"/>
    <w:rsid w:val="311A361E"/>
    <w:rsid w:val="314172D8"/>
    <w:rsid w:val="3150172B"/>
    <w:rsid w:val="31560142"/>
    <w:rsid w:val="31642D95"/>
    <w:rsid w:val="31685286"/>
    <w:rsid w:val="31876865"/>
    <w:rsid w:val="31A70A96"/>
    <w:rsid w:val="31BB19AD"/>
    <w:rsid w:val="31FD7CBB"/>
    <w:rsid w:val="32002EBC"/>
    <w:rsid w:val="32007A7E"/>
    <w:rsid w:val="322477CE"/>
    <w:rsid w:val="323F0B36"/>
    <w:rsid w:val="324638DB"/>
    <w:rsid w:val="325C3C7D"/>
    <w:rsid w:val="325E5E4B"/>
    <w:rsid w:val="32617B8D"/>
    <w:rsid w:val="328F669B"/>
    <w:rsid w:val="329655CE"/>
    <w:rsid w:val="329E3A0C"/>
    <w:rsid w:val="32CD4C77"/>
    <w:rsid w:val="32F62F24"/>
    <w:rsid w:val="33092337"/>
    <w:rsid w:val="331C0B2D"/>
    <w:rsid w:val="33437504"/>
    <w:rsid w:val="33507516"/>
    <w:rsid w:val="336324D7"/>
    <w:rsid w:val="33AC4A27"/>
    <w:rsid w:val="33B846C8"/>
    <w:rsid w:val="33C17C5D"/>
    <w:rsid w:val="33ED5D11"/>
    <w:rsid w:val="34100FB1"/>
    <w:rsid w:val="34207846"/>
    <w:rsid w:val="34360982"/>
    <w:rsid w:val="343C61FA"/>
    <w:rsid w:val="34407C10"/>
    <w:rsid w:val="34471173"/>
    <w:rsid w:val="34481436"/>
    <w:rsid w:val="34601141"/>
    <w:rsid w:val="34633A4D"/>
    <w:rsid w:val="34766D14"/>
    <w:rsid w:val="34796F56"/>
    <w:rsid w:val="349F10F7"/>
    <w:rsid w:val="34D37D58"/>
    <w:rsid w:val="34F71848"/>
    <w:rsid w:val="35155BCB"/>
    <w:rsid w:val="35190446"/>
    <w:rsid w:val="35250590"/>
    <w:rsid w:val="35470E02"/>
    <w:rsid w:val="356F60BD"/>
    <w:rsid w:val="35777529"/>
    <w:rsid w:val="359E387B"/>
    <w:rsid w:val="35A32F7C"/>
    <w:rsid w:val="35BB294B"/>
    <w:rsid w:val="35C21B3D"/>
    <w:rsid w:val="35EC4F49"/>
    <w:rsid w:val="363E1FDC"/>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D07618"/>
    <w:rsid w:val="39DA36FE"/>
    <w:rsid w:val="39DE0021"/>
    <w:rsid w:val="39F55BDC"/>
    <w:rsid w:val="3A064D0F"/>
    <w:rsid w:val="3A0A7D11"/>
    <w:rsid w:val="3A0E4FF5"/>
    <w:rsid w:val="3A17113A"/>
    <w:rsid w:val="3A2B785D"/>
    <w:rsid w:val="3A2D3456"/>
    <w:rsid w:val="3A373D6C"/>
    <w:rsid w:val="3A5D519E"/>
    <w:rsid w:val="3A747584"/>
    <w:rsid w:val="3A7F0B92"/>
    <w:rsid w:val="3AD46C94"/>
    <w:rsid w:val="3AF050B8"/>
    <w:rsid w:val="3B0B01FC"/>
    <w:rsid w:val="3B3E1535"/>
    <w:rsid w:val="3B487D2D"/>
    <w:rsid w:val="3B666953"/>
    <w:rsid w:val="3B667134"/>
    <w:rsid w:val="3B67444C"/>
    <w:rsid w:val="3B7D53B1"/>
    <w:rsid w:val="3BCE5927"/>
    <w:rsid w:val="3BF21AC7"/>
    <w:rsid w:val="3C2259FB"/>
    <w:rsid w:val="3C4818BB"/>
    <w:rsid w:val="3C49502A"/>
    <w:rsid w:val="3C7546FF"/>
    <w:rsid w:val="3C8E5AE1"/>
    <w:rsid w:val="3C970D05"/>
    <w:rsid w:val="3CD536E2"/>
    <w:rsid w:val="3CD57FE9"/>
    <w:rsid w:val="3CEB7367"/>
    <w:rsid w:val="3D1F0F5A"/>
    <w:rsid w:val="3D376379"/>
    <w:rsid w:val="3D3B2FFA"/>
    <w:rsid w:val="3D404AB5"/>
    <w:rsid w:val="3D4778DB"/>
    <w:rsid w:val="3D6C58AA"/>
    <w:rsid w:val="3D736C49"/>
    <w:rsid w:val="3D892EF6"/>
    <w:rsid w:val="3DA74EF0"/>
    <w:rsid w:val="3DB31767"/>
    <w:rsid w:val="3DD66824"/>
    <w:rsid w:val="3DD8246F"/>
    <w:rsid w:val="3DF77843"/>
    <w:rsid w:val="3E157CEF"/>
    <w:rsid w:val="3E1A5340"/>
    <w:rsid w:val="3E225151"/>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510CCD"/>
    <w:rsid w:val="40844552"/>
    <w:rsid w:val="409B52F0"/>
    <w:rsid w:val="409B6C45"/>
    <w:rsid w:val="40D224CA"/>
    <w:rsid w:val="40E06410"/>
    <w:rsid w:val="40E80CBF"/>
    <w:rsid w:val="411D4B81"/>
    <w:rsid w:val="4121600B"/>
    <w:rsid w:val="41855C15"/>
    <w:rsid w:val="4188126A"/>
    <w:rsid w:val="419A2113"/>
    <w:rsid w:val="419A27F0"/>
    <w:rsid w:val="41B950AB"/>
    <w:rsid w:val="41BA6C0F"/>
    <w:rsid w:val="41E9571B"/>
    <w:rsid w:val="41EC6FB9"/>
    <w:rsid w:val="41FE7345"/>
    <w:rsid w:val="41FF0A9A"/>
    <w:rsid w:val="42201451"/>
    <w:rsid w:val="423901E5"/>
    <w:rsid w:val="4245093A"/>
    <w:rsid w:val="4262062D"/>
    <w:rsid w:val="42854834"/>
    <w:rsid w:val="42AB4581"/>
    <w:rsid w:val="42CF71FC"/>
    <w:rsid w:val="43152DFB"/>
    <w:rsid w:val="43525CEF"/>
    <w:rsid w:val="43777D26"/>
    <w:rsid w:val="437F7196"/>
    <w:rsid w:val="43AE3638"/>
    <w:rsid w:val="43CA31E5"/>
    <w:rsid w:val="43E048FB"/>
    <w:rsid w:val="43E73EDC"/>
    <w:rsid w:val="44045173"/>
    <w:rsid w:val="441B4E99"/>
    <w:rsid w:val="442036C1"/>
    <w:rsid w:val="443909DA"/>
    <w:rsid w:val="44597314"/>
    <w:rsid w:val="44676717"/>
    <w:rsid w:val="44780FD8"/>
    <w:rsid w:val="4496320C"/>
    <w:rsid w:val="44A8366B"/>
    <w:rsid w:val="44A9737B"/>
    <w:rsid w:val="44AB711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D1274E"/>
    <w:rsid w:val="45DC0B8E"/>
    <w:rsid w:val="45E10B66"/>
    <w:rsid w:val="45FE3DA2"/>
    <w:rsid w:val="46211CA0"/>
    <w:rsid w:val="46375460"/>
    <w:rsid w:val="463C376E"/>
    <w:rsid w:val="46417814"/>
    <w:rsid w:val="4654337F"/>
    <w:rsid w:val="46573BB7"/>
    <w:rsid w:val="46AC3C06"/>
    <w:rsid w:val="46DF2916"/>
    <w:rsid w:val="46EF373D"/>
    <w:rsid w:val="47541888"/>
    <w:rsid w:val="479D03AF"/>
    <w:rsid w:val="47C62C54"/>
    <w:rsid w:val="48100008"/>
    <w:rsid w:val="486521D0"/>
    <w:rsid w:val="48664476"/>
    <w:rsid w:val="486A6796"/>
    <w:rsid w:val="48A62E76"/>
    <w:rsid w:val="48A9335B"/>
    <w:rsid w:val="48D13F22"/>
    <w:rsid w:val="48DC0BB6"/>
    <w:rsid w:val="48FD6822"/>
    <w:rsid w:val="4917767C"/>
    <w:rsid w:val="491D5BAC"/>
    <w:rsid w:val="493A72A3"/>
    <w:rsid w:val="495913D8"/>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35C59"/>
    <w:rsid w:val="4B3C61D6"/>
    <w:rsid w:val="4B4448DB"/>
    <w:rsid w:val="4B46166A"/>
    <w:rsid w:val="4B7A4F03"/>
    <w:rsid w:val="4B867E6B"/>
    <w:rsid w:val="4BC75C36"/>
    <w:rsid w:val="4BD83458"/>
    <w:rsid w:val="4BFE7346"/>
    <w:rsid w:val="4C015A89"/>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37431A"/>
    <w:rsid w:val="4F4168CB"/>
    <w:rsid w:val="4F437951"/>
    <w:rsid w:val="4F797E40"/>
    <w:rsid w:val="4F896705"/>
    <w:rsid w:val="4F8A6B21"/>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6140B5"/>
    <w:rsid w:val="519A6E4B"/>
    <w:rsid w:val="519C3468"/>
    <w:rsid w:val="519F6072"/>
    <w:rsid w:val="51BD002A"/>
    <w:rsid w:val="51CC1542"/>
    <w:rsid w:val="51D11D27"/>
    <w:rsid w:val="51E03679"/>
    <w:rsid w:val="52021EE1"/>
    <w:rsid w:val="520E63D9"/>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3E977FC"/>
    <w:rsid w:val="5411759E"/>
    <w:rsid w:val="541263F1"/>
    <w:rsid w:val="54204827"/>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C5C67"/>
    <w:rsid w:val="563C47B7"/>
    <w:rsid w:val="56464A92"/>
    <w:rsid w:val="565C42B5"/>
    <w:rsid w:val="565E452F"/>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7EA3B43"/>
    <w:rsid w:val="58032868"/>
    <w:rsid w:val="582E3079"/>
    <w:rsid w:val="582F5E08"/>
    <w:rsid w:val="58335F64"/>
    <w:rsid w:val="583457B7"/>
    <w:rsid w:val="584D061B"/>
    <w:rsid w:val="585F09AC"/>
    <w:rsid w:val="586236D9"/>
    <w:rsid w:val="58675193"/>
    <w:rsid w:val="58692575"/>
    <w:rsid w:val="586A2202"/>
    <w:rsid w:val="586D674D"/>
    <w:rsid w:val="587F3693"/>
    <w:rsid w:val="588305BE"/>
    <w:rsid w:val="58993AA4"/>
    <w:rsid w:val="58D740C7"/>
    <w:rsid w:val="58F52DEF"/>
    <w:rsid w:val="592C06F7"/>
    <w:rsid w:val="593037D7"/>
    <w:rsid w:val="59351499"/>
    <w:rsid w:val="59413614"/>
    <w:rsid w:val="5963315C"/>
    <w:rsid w:val="59661A1C"/>
    <w:rsid w:val="59833106"/>
    <w:rsid w:val="59C16295"/>
    <w:rsid w:val="59E60B27"/>
    <w:rsid w:val="5A0C7DA1"/>
    <w:rsid w:val="5A15042A"/>
    <w:rsid w:val="5A273E7B"/>
    <w:rsid w:val="5A2B0F18"/>
    <w:rsid w:val="5A324F9B"/>
    <w:rsid w:val="5A3A5176"/>
    <w:rsid w:val="5A481E1E"/>
    <w:rsid w:val="5A547BC4"/>
    <w:rsid w:val="5A581238"/>
    <w:rsid w:val="5A670D37"/>
    <w:rsid w:val="5A6B0450"/>
    <w:rsid w:val="5A951DC7"/>
    <w:rsid w:val="5AA55668"/>
    <w:rsid w:val="5ACE1638"/>
    <w:rsid w:val="5AFE3E53"/>
    <w:rsid w:val="5B1B3400"/>
    <w:rsid w:val="5B1C3F6F"/>
    <w:rsid w:val="5B57504B"/>
    <w:rsid w:val="5B6C544E"/>
    <w:rsid w:val="5B81129F"/>
    <w:rsid w:val="5B835B1E"/>
    <w:rsid w:val="5BBD2C5D"/>
    <w:rsid w:val="5BEB688F"/>
    <w:rsid w:val="5C060BA6"/>
    <w:rsid w:val="5C0F1059"/>
    <w:rsid w:val="5C2763AE"/>
    <w:rsid w:val="5C452F60"/>
    <w:rsid w:val="5C7E68C0"/>
    <w:rsid w:val="5C957523"/>
    <w:rsid w:val="5CB71FAC"/>
    <w:rsid w:val="5CC846CD"/>
    <w:rsid w:val="5CCC1A69"/>
    <w:rsid w:val="5CD33287"/>
    <w:rsid w:val="5D1551BE"/>
    <w:rsid w:val="5D1C55FD"/>
    <w:rsid w:val="5D2312A1"/>
    <w:rsid w:val="5D4A1ADE"/>
    <w:rsid w:val="5D5064CF"/>
    <w:rsid w:val="5D5378C2"/>
    <w:rsid w:val="5D7B73F8"/>
    <w:rsid w:val="5D801813"/>
    <w:rsid w:val="5D921151"/>
    <w:rsid w:val="5DA96475"/>
    <w:rsid w:val="5DCF5EB4"/>
    <w:rsid w:val="5DDF2AFE"/>
    <w:rsid w:val="5DE47ADF"/>
    <w:rsid w:val="5DF43025"/>
    <w:rsid w:val="5DFE2262"/>
    <w:rsid w:val="5E064B6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443D72"/>
    <w:rsid w:val="604C360E"/>
    <w:rsid w:val="606070A1"/>
    <w:rsid w:val="60963062"/>
    <w:rsid w:val="609C276E"/>
    <w:rsid w:val="60BD1DF5"/>
    <w:rsid w:val="60DD6087"/>
    <w:rsid w:val="60E6741B"/>
    <w:rsid w:val="60ED620D"/>
    <w:rsid w:val="61292585"/>
    <w:rsid w:val="61386AE7"/>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8B3F86"/>
    <w:rsid w:val="65B30FCC"/>
    <w:rsid w:val="65C47781"/>
    <w:rsid w:val="65DB7521"/>
    <w:rsid w:val="65E41BD1"/>
    <w:rsid w:val="66237BA0"/>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4806C9"/>
    <w:rsid w:val="69540AC3"/>
    <w:rsid w:val="6970074F"/>
    <w:rsid w:val="69753AD6"/>
    <w:rsid w:val="6992791F"/>
    <w:rsid w:val="69CD2EFC"/>
    <w:rsid w:val="69D430C2"/>
    <w:rsid w:val="69DB153D"/>
    <w:rsid w:val="69E623BC"/>
    <w:rsid w:val="69FF347E"/>
    <w:rsid w:val="6A2F35C4"/>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E45A82"/>
    <w:rsid w:val="6CED514E"/>
    <w:rsid w:val="6D424F6C"/>
    <w:rsid w:val="6D562AC9"/>
    <w:rsid w:val="6D6413E7"/>
    <w:rsid w:val="6DAE7EB4"/>
    <w:rsid w:val="6DBE71AC"/>
    <w:rsid w:val="6DD37101"/>
    <w:rsid w:val="6DEC0BE5"/>
    <w:rsid w:val="6DF31E10"/>
    <w:rsid w:val="6E084AD4"/>
    <w:rsid w:val="6E1A0886"/>
    <w:rsid w:val="6E1E4C2F"/>
    <w:rsid w:val="6E315BD0"/>
    <w:rsid w:val="6E3C5547"/>
    <w:rsid w:val="6E544E36"/>
    <w:rsid w:val="6E560671"/>
    <w:rsid w:val="6E585E87"/>
    <w:rsid w:val="6E6E0659"/>
    <w:rsid w:val="6EC901D0"/>
    <w:rsid w:val="6ECB0F0B"/>
    <w:rsid w:val="6ED17C7B"/>
    <w:rsid w:val="6EEF7C03"/>
    <w:rsid w:val="6EF25AB6"/>
    <w:rsid w:val="6F0B22B2"/>
    <w:rsid w:val="6F190B3E"/>
    <w:rsid w:val="6F42559F"/>
    <w:rsid w:val="6F46386F"/>
    <w:rsid w:val="6F8241F5"/>
    <w:rsid w:val="6FB0179B"/>
    <w:rsid w:val="6FE340D1"/>
    <w:rsid w:val="70014B4E"/>
    <w:rsid w:val="70052E70"/>
    <w:rsid w:val="70604901"/>
    <w:rsid w:val="70634A3F"/>
    <w:rsid w:val="709055CD"/>
    <w:rsid w:val="70911BD8"/>
    <w:rsid w:val="70952FFF"/>
    <w:rsid w:val="70B01948"/>
    <w:rsid w:val="70F14B55"/>
    <w:rsid w:val="711A0B9D"/>
    <w:rsid w:val="71845B98"/>
    <w:rsid w:val="719473E7"/>
    <w:rsid w:val="71AF6BD1"/>
    <w:rsid w:val="71B31E3B"/>
    <w:rsid w:val="71B903B6"/>
    <w:rsid w:val="71B92E73"/>
    <w:rsid w:val="71C52E43"/>
    <w:rsid w:val="71CD43DB"/>
    <w:rsid w:val="71E27D54"/>
    <w:rsid w:val="72341240"/>
    <w:rsid w:val="7256284E"/>
    <w:rsid w:val="729B0095"/>
    <w:rsid w:val="729E04A0"/>
    <w:rsid w:val="72A76EB0"/>
    <w:rsid w:val="72BE75B3"/>
    <w:rsid w:val="72C46047"/>
    <w:rsid w:val="72D91C34"/>
    <w:rsid w:val="731D1478"/>
    <w:rsid w:val="7320481A"/>
    <w:rsid w:val="73370432"/>
    <w:rsid w:val="735465E8"/>
    <w:rsid w:val="735F4F8D"/>
    <w:rsid w:val="738A009D"/>
    <w:rsid w:val="739123E3"/>
    <w:rsid w:val="73AC6AB6"/>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B717B"/>
    <w:rsid w:val="750C3591"/>
    <w:rsid w:val="751F49D4"/>
    <w:rsid w:val="752B08EE"/>
    <w:rsid w:val="75300F96"/>
    <w:rsid w:val="756451A0"/>
    <w:rsid w:val="756B442E"/>
    <w:rsid w:val="75930F1E"/>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C2D7B"/>
    <w:rsid w:val="770E0A6A"/>
    <w:rsid w:val="772C1161"/>
    <w:rsid w:val="772F45CE"/>
    <w:rsid w:val="773847E1"/>
    <w:rsid w:val="77530965"/>
    <w:rsid w:val="777D1E86"/>
    <w:rsid w:val="777E0E0B"/>
    <w:rsid w:val="778D32E4"/>
    <w:rsid w:val="77A315C6"/>
    <w:rsid w:val="77A970DE"/>
    <w:rsid w:val="77C33D3D"/>
    <w:rsid w:val="77E63303"/>
    <w:rsid w:val="77F42D5F"/>
    <w:rsid w:val="780B7492"/>
    <w:rsid w:val="78252599"/>
    <w:rsid w:val="782C1008"/>
    <w:rsid w:val="782D785A"/>
    <w:rsid w:val="78520C1D"/>
    <w:rsid w:val="78540E39"/>
    <w:rsid w:val="788F1E71"/>
    <w:rsid w:val="78A33907"/>
    <w:rsid w:val="78AE3A23"/>
    <w:rsid w:val="78B80825"/>
    <w:rsid w:val="78C131A8"/>
    <w:rsid w:val="78F9378E"/>
    <w:rsid w:val="79055D51"/>
    <w:rsid w:val="792D7336"/>
    <w:rsid w:val="79353C52"/>
    <w:rsid w:val="7936789A"/>
    <w:rsid w:val="793819A9"/>
    <w:rsid w:val="79573F67"/>
    <w:rsid w:val="79697C51"/>
    <w:rsid w:val="79793BDC"/>
    <w:rsid w:val="797E5DF2"/>
    <w:rsid w:val="79855CC3"/>
    <w:rsid w:val="79AF3DAA"/>
    <w:rsid w:val="79C9363A"/>
    <w:rsid w:val="7A042DB6"/>
    <w:rsid w:val="7A334837"/>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920181"/>
    <w:rsid w:val="7CAA78C0"/>
    <w:rsid w:val="7CB516ED"/>
    <w:rsid w:val="7CD60211"/>
    <w:rsid w:val="7CDD3AC3"/>
    <w:rsid w:val="7CFA2E9C"/>
    <w:rsid w:val="7CFE510F"/>
    <w:rsid w:val="7D13030C"/>
    <w:rsid w:val="7D133070"/>
    <w:rsid w:val="7D1477D8"/>
    <w:rsid w:val="7D260A8C"/>
    <w:rsid w:val="7D2F2685"/>
    <w:rsid w:val="7D775E4B"/>
    <w:rsid w:val="7DA11C98"/>
    <w:rsid w:val="7DAB1142"/>
    <w:rsid w:val="7DB406C0"/>
    <w:rsid w:val="7DC17A13"/>
    <w:rsid w:val="7DEE01E3"/>
    <w:rsid w:val="7E05722A"/>
    <w:rsid w:val="7E0F0A9C"/>
    <w:rsid w:val="7E7E09BD"/>
    <w:rsid w:val="7E86636D"/>
    <w:rsid w:val="7EEC1987"/>
    <w:rsid w:val="7F346EB8"/>
    <w:rsid w:val="7F4D172E"/>
    <w:rsid w:val="7F585C8A"/>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rFonts w:ascii="黑体" w:eastAsia="黑体"/>
      <w:sz w:val="52"/>
      <w:szCs w:val="24"/>
    </w:rPr>
  </w:style>
  <w:style w:type="paragraph" w:styleId="4">
    <w:name w:val="heading 2"/>
    <w:basedOn w:val="1"/>
    <w:next w:val="5"/>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autoRedefine/>
    <w:qFormat/>
    <w:uiPriority w:val="0"/>
    <w:pPr>
      <w:keepNext/>
      <w:keepLines/>
      <w:spacing w:before="260" w:after="260" w:line="415" w:lineRule="auto"/>
      <w:outlineLvl w:val="2"/>
    </w:pPr>
    <w:rPr>
      <w:b/>
      <w:sz w:val="32"/>
    </w:rPr>
  </w:style>
  <w:style w:type="paragraph" w:styleId="8">
    <w:name w:val="heading 4"/>
    <w:basedOn w:val="1"/>
    <w:next w:val="1"/>
    <w:autoRedefine/>
    <w:qFormat/>
    <w:uiPriority w:val="0"/>
    <w:pPr>
      <w:keepNext/>
      <w:keepLines/>
      <w:widowControl w:val="0"/>
      <w:suppressLineNumbers w:val="0"/>
      <w:spacing w:before="280" w:beforeAutospacing="0" w:after="290" w:afterAutospacing="0" w:line="374" w:lineRule="auto"/>
      <w:jc w:val="both"/>
      <w:outlineLvl w:val="3"/>
    </w:pPr>
    <w:rPr>
      <w:rFonts w:hint="eastAsia" w:ascii="等线 Light" w:hAnsi="等线 Light" w:eastAsia="等线 Light" w:cs="Times New Roman"/>
      <w:b/>
      <w:bCs/>
      <w:kern w:val="2"/>
      <w:sz w:val="28"/>
      <w:szCs w:val="28"/>
      <w:lang w:val="en-US" w:eastAsia="zh-CN" w:bidi="ar"/>
    </w:rPr>
  </w:style>
  <w:style w:type="paragraph" w:styleId="9">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1"/>
    <w:next w:val="1"/>
    <w:autoRedefine/>
    <w:qFormat/>
    <w:uiPriority w:val="0"/>
    <w:pPr>
      <w:ind w:firstLine="420"/>
    </w:pPr>
  </w:style>
  <w:style w:type="paragraph" w:customStyle="1" w:styleId="5">
    <w:name w:val="Í¼±íÕýÎÄ"/>
    <w:basedOn w:val="1"/>
    <w:next w:val="6"/>
    <w:autoRedefine/>
    <w:qFormat/>
    <w:uiPriority w:val="0"/>
    <w:pPr>
      <w:ind w:firstLine="420" w:firstLineChars="200"/>
    </w:pPr>
    <w:rPr>
      <w:sz w:val="24"/>
    </w:rPr>
  </w:style>
  <w:style w:type="paragraph" w:styleId="6">
    <w:name w:val="Normal Indent"/>
    <w:basedOn w:val="1"/>
    <w:next w:val="1"/>
    <w:link w:val="50"/>
    <w:autoRedefine/>
    <w:qFormat/>
    <w:uiPriority w:val="0"/>
    <w:pPr>
      <w:autoSpaceDE w:val="0"/>
      <w:autoSpaceDN w:val="0"/>
      <w:adjustRightInd w:val="0"/>
      <w:ind w:firstLine="420"/>
    </w:pPr>
    <w:rPr>
      <w:rFonts w:ascii="宋体"/>
      <w:sz w:val="24"/>
    </w:rPr>
  </w:style>
  <w:style w:type="paragraph" w:styleId="10">
    <w:name w:val="table of authorities"/>
    <w:next w:val="1"/>
    <w:unhideWhenUsed/>
    <w:qFormat/>
    <w:uiPriority w:val="99"/>
    <w:pPr>
      <w:widowControl w:val="0"/>
      <w:ind w:left="420" w:leftChars="200"/>
      <w:jc w:val="both"/>
    </w:pPr>
    <w:rPr>
      <w:rFonts w:ascii="Times New Roman" w:hAnsi="Times New Roman" w:eastAsia="宋体" w:cs="Times New Roman"/>
      <w:sz w:val="22"/>
      <w:szCs w:val="22"/>
      <w:lang w:val="en-US" w:eastAsia="en-US" w:bidi="ar-SA"/>
    </w:rPr>
  </w:style>
  <w:style w:type="paragraph" w:styleId="11">
    <w:name w:val="Document Map"/>
    <w:basedOn w:val="1"/>
    <w:link w:val="55"/>
    <w:autoRedefine/>
    <w:unhideWhenUsed/>
    <w:qFormat/>
    <w:uiPriority w:val="99"/>
    <w:rPr>
      <w:rFonts w:ascii="宋体"/>
      <w:sz w:val="18"/>
      <w:szCs w:val="18"/>
    </w:rPr>
  </w:style>
  <w:style w:type="paragraph" w:styleId="12">
    <w:name w:val="annotation text"/>
    <w:basedOn w:val="1"/>
    <w:link w:val="47"/>
    <w:unhideWhenUsed/>
    <w:qFormat/>
    <w:uiPriority w:val="99"/>
    <w:pPr>
      <w:jc w:val="left"/>
    </w:pPr>
  </w:style>
  <w:style w:type="paragraph" w:styleId="13">
    <w:name w:val="Body Text"/>
    <w:basedOn w:val="1"/>
    <w:next w:val="1"/>
    <w:link w:val="44"/>
    <w:qFormat/>
    <w:uiPriority w:val="0"/>
    <w:pPr>
      <w:spacing w:after="120"/>
    </w:pPr>
    <w:rPr>
      <w:szCs w:val="24"/>
    </w:rPr>
  </w:style>
  <w:style w:type="paragraph" w:styleId="14">
    <w:name w:val="Body Text Indent"/>
    <w:basedOn w:val="1"/>
    <w:next w:val="1"/>
    <w:qFormat/>
    <w:uiPriority w:val="0"/>
    <w:pPr>
      <w:spacing w:line="440" w:lineRule="exact"/>
      <w:ind w:firstLine="196" w:firstLineChars="196"/>
    </w:pPr>
    <w:rPr>
      <w:rFonts w:ascii="宋体" w:cs="Century"/>
      <w:spacing w:val="2"/>
      <w:szCs w:val="24"/>
    </w:rPr>
  </w:style>
  <w:style w:type="paragraph" w:styleId="15">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6">
    <w:name w:val="Plain Text"/>
    <w:basedOn w:val="1"/>
    <w:next w:val="17"/>
    <w:link w:val="51"/>
    <w:autoRedefine/>
    <w:qFormat/>
    <w:uiPriority w:val="0"/>
    <w:rPr>
      <w:rFonts w:ascii="宋体" w:hAnsi="宋体"/>
      <w:sz w:val="26"/>
    </w:rPr>
  </w:style>
  <w:style w:type="paragraph" w:styleId="17">
    <w:name w:val="toc 4"/>
    <w:basedOn w:val="1"/>
    <w:next w:val="1"/>
    <w:autoRedefine/>
    <w:qFormat/>
    <w:uiPriority w:val="0"/>
    <w:pPr>
      <w:ind w:left="1260"/>
    </w:pPr>
  </w:style>
  <w:style w:type="paragraph" w:styleId="18">
    <w:name w:val="Date"/>
    <w:basedOn w:val="1"/>
    <w:next w:val="1"/>
    <w:autoRedefine/>
    <w:qFormat/>
    <w:uiPriority w:val="0"/>
    <w:rPr>
      <w:rFonts w:ascii="宋体" w:hAnsi="宋体"/>
      <w:sz w:val="24"/>
    </w:rPr>
  </w:style>
  <w:style w:type="paragraph" w:styleId="19">
    <w:name w:val="Body Text Indent 2"/>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20">
    <w:name w:val="Balloon Text"/>
    <w:basedOn w:val="1"/>
    <w:link w:val="54"/>
    <w:autoRedefine/>
    <w:unhideWhenUsed/>
    <w:qFormat/>
    <w:uiPriority w:val="99"/>
    <w:rPr>
      <w:sz w:val="18"/>
      <w:szCs w:val="18"/>
    </w:rPr>
  </w:style>
  <w:style w:type="paragraph" w:styleId="21">
    <w:name w:val="footer"/>
    <w:basedOn w:val="1"/>
    <w:link w:val="43"/>
    <w:autoRedefine/>
    <w:qFormat/>
    <w:uiPriority w:val="99"/>
    <w:pPr>
      <w:tabs>
        <w:tab w:val="center" w:pos="4153"/>
        <w:tab w:val="right" w:pos="8307"/>
      </w:tabs>
      <w:snapToGrid w:val="0"/>
      <w:jc w:val="left"/>
    </w:pPr>
    <w:rPr>
      <w:sz w:val="16"/>
    </w:rPr>
  </w:style>
  <w:style w:type="paragraph" w:styleId="22">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23">
    <w:name w:val="toc 1"/>
    <w:basedOn w:val="1"/>
    <w:next w:val="1"/>
    <w:autoRedefine/>
    <w:unhideWhenUsed/>
    <w:qFormat/>
    <w:uiPriority w:val="39"/>
  </w:style>
  <w:style w:type="paragraph" w:styleId="24">
    <w:name w:val="Body Text Indent 3"/>
    <w:basedOn w:val="1"/>
    <w:autoRedefine/>
    <w:unhideWhenUsed/>
    <w:qFormat/>
    <w:uiPriority w:val="99"/>
    <w:pPr>
      <w:spacing w:after="120"/>
      <w:ind w:left="420" w:leftChars="200"/>
    </w:pPr>
    <w:rPr>
      <w:rFonts w:ascii="Calibri" w:hAnsi="Calibri"/>
      <w:sz w:val="16"/>
      <w:szCs w:val="16"/>
    </w:rPr>
  </w:style>
  <w:style w:type="paragraph" w:styleId="25">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6">
    <w:name w:val="annotation subject"/>
    <w:basedOn w:val="12"/>
    <w:next w:val="12"/>
    <w:link w:val="49"/>
    <w:autoRedefine/>
    <w:unhideWhenUsed/>
    <w:qFormat/>
    <w:uiPriority w:val="99"/>
    <w:rPr>
      <w:b/>
      <w:bCs/>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rPr>
  </w:style>
  <w:style w:type="character" w:styleId="31">
    <w:name w:val="page number"/>
    <w:autoRedefine/>
    <w:qFormat/>
    <w:uiPriority w:val="0"/>
  </w:style>
  <w:style w:type="character" w:styleId="32">
    <w:name w:val="FollowedHyperlink"/>
    <w:autoRedefine/>
    <w:unhideWhenUsed/>
    <w:qFormat/>
    <w:uiPriority w:val="99"/>
    <w:rPr>
      <w:color w:val="252424"/>
      <w:u w:val="none"/>
    </w:rPr>
  </w:style>
  <w:style w:type="character" w:styleId="33">
    <w:name w:val="Emphasis"/>
    <w:basedOn w:val="29"/>
    <w:autoRedefine/>
    <w:qFormat/>
    <w:uiPriority w:val="1"/>
    <w:rPr>
      <w:color w:val="F73131"/>
    </w:rPr>
  </w:style>
  <w:style w:type="character" w:styleId="34">
    <w:name w:val="HTML Definition"/>
    <w:autoRedefine/>
    <w:unhideWhenUsed/>
    <w:qFormat/>
    <w:uiPriority w:val="99"/>
    <w:rPr>
      <w:i/>
    </w:rPr>
  </w:style>
  <w:style w:type="character" w:styleId="35">
    <w:name w:val="Hyperlink"/>
    <w:autoRedefine/>
    <w:qFormat/>
    <w:uiPriority w:val="0"/>
    <w:rPr>
      <w:color w:val="252424"/>
      <w:u w:val="none"/>
    </w:rPr>
  </w:style>
  <w:style w:type="character" w:styleId="36">
    <w:name w:val="HTML Code"/>
    <w:autoRedefine/>
    <w:unhideWhenUsed/>
    <w:qFormat/>
    <w:uiPriority w:val="99"/>
    <w:rPr>
      <w:rFonts w:hint="default" w:ascii="Menlo" w:hAnsi="Menlo" w:eastAsia="Menlo" w:cs="Menlo"/>
      <w:color w:val="C7254E"/>
      <w:sz w:val="21"/>
      <w:szCs w:val="21"/>
      <w:shd w:val="clear" w:color="auto" w:fill="F9F2F4"/>
    </w:rPr>
  </w:style>
  <w:style w:type="character" w:styleId="37">
    <w:name w:val="annotation reference"/>
    <w:autoRedefine/>
    <w:unhideWhenUsed/>
    <w:qFormat/>
    <w:uiPriority w:val="99"/>
    <w:rPr>
      <w:sz w:val="21"/>
      <w:szCs w:val="21"/>
    </w:rPr>
  </w:style>
  <w:style w:type="character" w:styleId="38">
    <w:name w:val="HTML Cite"/>
    <w:autoRedefine/>
    <w:unhideWhenUsed/>
    <w:qFormat/>
    <w:uiPriority w:val="99"/>
  </w:style>
  <w:style w:type="character" w:styleId="39">
    <w:name w:val="HTML Keyboard"/>
    <w:autoRedefine/>
    <w:unhideWhenUsed/>
    <w:qFormat/>
    <w:uiPriority w:val="99"/>
    <w:rPr>
      <w:rFonts w:hint="default" w:ascii="Menlo" w:hAnsi="Menlo" w:eastAsia="Menlo" w:cs="Menlo"/>
      <w:color w:val="FFFFFF"/>
      <w:sz w:val="21"/>
      <w:szCs w:val="21"/>
      <w:shd w:val="clear" w:color="auto" w:fill="333333"/>
    </w:rPr>
  </w:style>
  <w:style w:type="character" w:styleId="40">
    <w:name w:val="HTML Sample"/>
    <w:autoRedefine/>
    <w:unhideWhenUsed/>
    <w:qFormat/>
    <w:uiPriority w:val="99"/>
    <w:rPr>
      <w:rFonts w:ascii="Menlo" w:hAnsi="Menlo" w:eastAsia="Menlo" w:cs="Menlo"/>
      <w:sz w:val="21"/>
      <w:szCs w:val="21"/>
    </w:rPr>
  </w:style>
  <w:style w:type="paragraph" w:customStyle="1" w:styleId="41">
    <w:name w:val="正文1"/>
    <w:next w:val="1"/>
    <w:autoRedefine/>
    <w:qFormat/>
    <w:uiPriority w:val="0"/>
    <w:pPr>
      <w:widowControl w:val="0"/>
      <w:spacing w:before="120" w:line="360" w:lineRule="auto"/>
      <w:ind w:left="420" w:firstLine="527"/>
      <w:jc w:val="both"/>
    </w:pPr>
    <w:rPr>
      <w:rFonts w:ascii="宋体" w:hAnsi="宋体" w:eastAsia="宋体" w:cs="Times New Roman"/>
      <w:sz w:val="22"/>
      <w:szCs w:val="22"/>
      <w:lang w:val="en-US" w:eastAsia="en-US" w:bidi="ar-SA"/>
    </w:rPr>
  </w:style>
  <w:style w:type="character" w:customStyle="1" w:styleId="42">
    <w:name w:val="font71"/>
    <w:basedOn w:val="29"/>
    <w:autoRedefine/>
    <w:qFormat/>
    <w:uiPriority w:val="0"/>
    <w:rPr>
      <w:rFonts w:hint="eastAsia" w:ascii="微软雅黑" w:hAnsi="微软雅黑" w:eastAsia="微软雅黑" w:cs="微软雅黑"/>
      <w:color w:val="000000"/>
      <w:sz w:val="18"/>
      <w:szCs w:val="18"/>
      <w:u w:val="none"/>
    </w:rPr>
  </w:style>
  <w:style w:type="character" w:customStyle="1" w:styleId="43">
    <w:name w:val="页脚 Char"/>
    <w:link w:val="21"/>
    <w:autoRedefine/>
    <w:qFormat/>
    <w:uiPriority w:val="99"/>
    <w:rPr>
      <w:rFonts w:ascii="Times New Roman" w:hAnsi="Times New Roman" w:eastAsia="宋体"/>
      <w:kern w:val="2"/>
      <w:sz w:val="16"/>
    </w:rPr>
  </w:style>
  <w:style w:type="character" w:customStyle="1" w:styleId="44">
    <w:name w:val="正文文本 Char"/>
    <w:link w:val="13"/>
    <w:autoRedefine/>
    <w:qFormat/>
    <w:uiPriority w:val="0"/>
    <w:rPr>
      <w:kern w:val="2"/>
      <w:sz w:val="21"/>
      <w:szCs w:val="24"/>
      <w:lang w:val="en-US" w:eastAsia="zh-CN" w:bidi="ar-SA"/>
    </w:rPr>
  </w:style>
  <w:style w:type="character" w:customStyle="1" w:styleId="45">
    <w:name w:val="font11"/>
    <w:basedOn w:val="29"/>
    <w:autoRedefine/>
    <w:qFormat/>
    <w:uiPriority w:val="0"/>
    <w:rPr>
      <w:rFonts w:hint="eastAsia" w:ascii="宋体" w:hAnsi="宋体" w:eastAsia="宋体" w:cs="宋体"/>
      <w:color w:val="000000"/>
      <w:sz w:val="18"/>
      <w:szCs w:val="18"/>
      <w:u w:val="none"/>
    </w:rPr>
  </w:style>
  <w:style w:type="character" w:customStyle="1" w:styleId="46">
    <w:name w:val="font131"/>
    <w:basedOn w:val="29"/>
    <w:autoRedefine/>
    <w:qFormat/>
    <w:uiPriority w:val="0"/>
    <w:rPr>
      <w:rFonts w:hint="eastAsia" w:ascii="微软雅黑" w:hAnsi="微软雅黑" w:eastAsia="微软雅黑" w:cs="微软雅黑"/>
      <w:color w:val="000000"/>
      <w:sz w:val="18"/>
      <w:szCs w:val="18"/>
      <w:u w:val="none"/>
    </w:rPr>
  </w:style>
  <w:style w:type="character" w:customStyle="1" w:styleId="47">
    <w:name w:val="批注文字 Char"/>
    <w:link w:val="12"/>
    <w:autoRedefine/>
    <w:qFormat/>
    <w:uiPriority w:val="99"/>
    <w:rPr>
      <w:rFonts w:eastAsia="宋体"/>
      <w:kern w:val="2"/>
      <w:sz w:val="21"/>
    </w:rPr>
  </w:style>
  <w:style w:type="character" w:customStyle="1" w:styleId="48">
    <w:name w:val="font141"/>
    <w:basedOn w:val="29"/>
    <w:autoRedefine/>
    <w:qFormat/>
    <w:uiPriority w:val="0"/>
    <w:rPr>
      <w:rFonts w:hint="default" w:ascii="Wingdings 2" w:hAnsi="Wingdings 2" w:eastAsia="Wingdings 2" w:cs="Wingdings 2"/>
      <w:color w:val="000000"/>
      <w:sz w:val="18"/>
      <w:szCs w:val="18"/>
      <w:u w:val="none"/>
    </w:rPr>
  </w:style>
  <w:style w:type="character" w:customStyle="1" w:styleId="49">
    <w:name w:val="批注主题 Char"/>
    <w:link w:val="26"/>
    <w:autoRedefine/>
    <w:semiHidden/>
    <w:qFormat/>
    <w:uiPriority w:val="99"/>
    <w:rPr>
      <w:rFonts w:eastAsia="宋体"/>
      <w:b/>
      <w:bCs/>
      <w:kern w:val="2"/>
      <w:sz w:val="21"/>
    </w:rPr>
  </w:style>
  <w:style w:type="character" w:customStyle="1" w:styleId="50">
    <w:name w:val="正文缩进 Char"/>
    <w:link w:val="6"/>
    <w:autoRedefine/>
    <w:qFormat/>
    <w:uiPriority w:val="0"/>
    <w:rPr>
      <w:rFonts w:ascii="宋体"/>
      <w:sz w:val="24"/>
      <w:lang w:val="en-US" w:eastAsia="zh-CN" w:bidi="ar-SA"/>
    </w:rPr>
  </w:style>
  <w:style w:type="character" w:customStyle="1" w:styleId="51">
    <w:name w:val="纯文本 Char"/>
    <w:link w:val="16"/>
    <w:autoRedefine/>
    <w:qFormat/>
    <w:uiPriority w:val="0"/>
    <w:rPr>
      <w:rFonts w:ascii="宋体" w:hAnsi="宋体"/>
      <w:kern w:val="2"/>
      <w:sz w:val="26"/>
      <w:lang w:val="en-US" w:eastAsia="zh-CN" w:bidi="ar-SA"/>
    </w:rPr>
  </w:style>
  <w:style w:type="character" w:customStyle="1" w:styleId="52">
    <w:name w:val="font61"/>
    <w:basedOn w:val="29"/>
    <w:autoRedefine/>
    <w:qFormat/>
    <w:uiPriority w:val="0"/>
    <w:rPr>
      <w:rFonts w:hint="eastAsia" w:ascii="微软雅黑" w:hAnsi="微软雅黑" w:eastAsia="微软雅黑" w:cs="微软雅黑"/>
      <w:color w:val="000000"/>
      <w:sz w:val="18"/>
      <w:szCs w:val="18"/>
      <w:u w:val="none"/>
    </w:rPr>
  </w:style>
  <w:style w:type="character" w:customStyle="1" w:styleId="53">
    <w:name w:val="font101"/>
    <w:basedOn w:val="29"/>
    <w:autoRedefine/>
    <w:qFormat/>
    <w:uiPriority w:val="0"/>
    <w:rPr>
      <w:rFonts w:hint="eastAsia" w:ascii="微软雅黑" w:hAnsi="微软雅黑" w:eastAsia="微软雅黑" w:cs="微软雅黑"/>
      <w:color w:val="000000"/>
      <w:sz w:val="18"/>
      <w:szCs w:val="18"/>
      <w:u w:val="none"/>
      <w:vertAlign w:val="superscript"/>
    </w:rPr>
  </w:style>
  <w:style w:type="character" w:customStyle="1" w:styleId="54">
    <w:name w:val="批注框文本 Char"/>
    <w:link w:val="20"/>
    <w:autoRedefine/>
    <w:semiHidden/>
    <w:qFormat/>
    <w:uiPriority w:val="99"/>
    <w:rPr>
      <w:rFonts w:eastAsia="宋体"/>
      <w:kern w:val="2"/>
      <w:sz w:val="18"/>
      <w:szCs w:val="18"/>
    </w:rPr>
  </w:style>
  <w:style w:type="character" w:customStyle="1" w:styleId="55">
    <w:name w:val="文档结构图 Char"/>
    <w:link w:val="11"/>
    <w:autoRedefine/>
    <w:semiHidden/>
    <w:qFormat/>
    <w:uiPriority w:val="99"/>
    <w:rPr>
      <w:rFonts w:ascii="宋体" w:eastAsia="宋体"/>
      <w:kern w:val="2"/>
      <w:sz w:val="18"/>
      <w:szCs w:val="18"/>
    </w:rPr>
  </w:style>
  <w:style w:type="character" w:customStyle="1" w:styleId="56">
    <w:name w:val="font91"/>
    <w:basedOn w:val="29"/>
    <w:autoRedefine/>
    <w:qFormat/>
    <w:uiPriority w:val="0"/>
    <w:rPr>
      <w:rFonts w:hint="eastAsia" w:ascii="微软雅黑" w:hAnsi="微软雅黑" w:eastAsia="微软雅黑" w:cs="微软雅黑"/>
      <w:color w:val="FF0000"/>
      <w:sz w:val="18"/>
      <w:szCs w:val="18"/>
      <w:u w:val="none"/>
    </w:rPr>
  </w:style>
  <w:style w:type="paragraph" w:customStyle="1" w:styleId="57">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8">
    <w:name w:val="成文日期"/>
    <w:basedOn w:val="1"/>
    <w:autoRedefine/>
    <w:qFormat/>
    <w:uiPriority w:val="0"/>
    <w:pPr>
      <w:ind w:right="400" w:rightChars="400"/>
      <w:jc w:val="right"/>
    </w:pPr>
  </w:style>
  <w:style w:type="paragraph" w:customStyle="1" w:styleId="59">
    <w:name w:val="Í¼¡À¡§ªÕýÎÄ"/>
    <w:basedOn w:val="1"/>
    <w:next w:val="6"/>
    <w:autoRedefine/>
    <w:qFormat/>
    <w:uiPriority w:val="99"/>
    <w:pPr>
      <w:ind w:firstLine="420" w:firstLineChars="200"/>
    </w:pPr>
    <w:rPr>
      <w:sz w:val="24"/>
    </w:rPr>
  </w:style>
  <w:style w:type="paragraph" w:customStyle="1" w:styleId="60">
    <w:name w:val="表格"/>
    <w:basedOn w:val="1"/>
    <w:autoRedefine/>
    <w:qFormat/>
    <w:uiPriority w:val="0"/>
    <w:pPr>
      <w:widowControl/>
    </w:pPr>
    <w:rPr>
      <w:rFonts w:ascii="宋体" w:hAnsi="宋体" w:cs="Tahoma"/>
      <w:bCs/>
      <w:kern w:val="0"/>
      <w:szCs w:val="21"/>
    </w:rPr>
  </w:style>
  <w:style w:type="paragraph" w:customStyle="1" w:styleId="61">
    <w:name w:val="纯文本11"/>
    <w:next w:val="17"/>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Table Paragraph"/>
    <w:basedOn w:val="1"/>
    <w:autoRedefine/>
    <w:unhideWhenUsed/>
    <w:qFormat/>
    <w:uiPriority w:val="0"/>
    <w:rPr>
      <w:sz w:val="24"/>
    </w:rPr>
  </w:style>
  <w:style w:type="paragraph" w:customStyle="1" w:styleId="64">
    <w:name w:val="p0"/>
    <w:basedOn w:val="1"/>
    <w:autoRedefine/>
    <w:qFormat/>
    <w:uiPriority w:val="0"/>
    <w:pPr>
      <w:widowControl/>
      <w:adjustRightInd w:val="0"/>
      <w:snapToGrid w:val="0"/>
      <w:spacing w:line="312" w:lineRule="atLeast"/>
      <w:textAlignment w:val="baseline"/>
    </w:pPr>
    <w:rPr>
      <w:rFonts w:ascii="宋体" w:hAnsi="宋体"/>
      <w:kern w:val="0"/>
      <w:sz w:val="24"/>
    </w:rPr>
  </w:style>
  <w:style w:type="paragraph" w:customStyle="1" w:styleId="65">
    <w:name w:val="样式 标题 1 + 宋体 居中 段前: 17 磅 段后: 16.5 磅"/>
    <w:basedOn w:val="3"/>
    <w:autoRedefine/>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6">
    <w:name w:val="列表段落1"/>
    <w:basedOn w:val="1"/>
    <w:autoRedefine/>
    <w:qFormat/>
    <w:uiPriority w:val="34"/>
    <w:pPr>
      <w:ind w:firstLine="420" w:firstLineChars="200"/>
    </w:pPr>
  </w:style>
  <w:style w:type="paragraph" w:customStyle="1" w:styleId="67">
    <w:name w:val="样式 标题 3 + (中文) 黑体 小四 非加粗 段前: 7.8 磅 段后: 0 磅 行距: 固定值 20 磅"/>
    <w:basedOn w:val="7"/>
    <w:autoRedefine/>
    <w:qFormat/>
    <w:uiPriority w:val="0"/>
    <w:pPr>
      <w:spacing w:before="0" w:after="0" w:line="400" w:lineRule="exact"/>
    </w:pPr>
    <w:rPr>
      <w:rFonts w:eastAsia="黑体" w:cs="宋体"/>
      <w:b w:val="0"/>
      <w:sz w:val="24"/>
    </w:rPr>
  </w:style>
  <w:style w:type="paragraph" w:customStyle="1" w:styleId="68">
    <w:name w:val="样式 宋体 小四 行距: 固定值 22 磅"/>
    <w:basedOn w:val="1"/>
    <w:autoRedefine/>
    <w:qFormat/>
    <w:uiPriority w:val="0"/>
    <w:pPr>
      <w:spacing w:line="360" w:lineRule="auto"/>
      <w:ind w:firstLine="480" w:firstLineChars="200"/>
    </w:pPr>
    <w:rPr>
      <w:rFonts w:ascii="宋体" w:hAnsi="宋体" w:cs="宋体"/>
      <w:sz w:val="24"/>
    </w:rPr>
  </w:style>
  <w:style w:type="paragraph" w:customStyle="1" w:styleId="69">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70">
    <w:name w:val="纯文本1"/>
    <w:next w:val="17"/>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1">
    <w:name w:val="纯文本2"/>
    <w:next w:val="17"/>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2">
    <w:name w:val="WPSOffice手动目录 1"/>
    <w:autoRedefine/>
    <w:qFormat/>
    <w:uiPriority w:val="0"/>
    <w:rPr>
      <w:rFonts w:ascii="Times New Roman" w:hAnsi="Times New Roman" w:eastAsia="宋体" w:cs="Times New Roman"/>
      <w:lang w:val="en-US" w:eastAsia="zh-CN" w:bidi="ar-SA"/>
    </w:rPr>
  </w:style>
  <w:style w:type="character" w:customStyle="1" w:styleId="73">
    <w:name w:val="font41"/>
    <w:basedOn w:val="29"/>
    <w:autoRedefine/>
    <w:qFormat/>
    <w:uiPriority w:val="0"/>
    <w:rPr>
      <w:rFonts w:hint="eastAsia" w:ascii="宋体" w:hAnsi="宋体" w:eastAsia="宋体" w:cs="宋体"/>
      <w:color w:val="FF0000"/>
      <w:sz w:val="18"/>
      <w:szCs w:val="18"/>
      <w:u w:val="none"/>
    </w:rPr>
  </w:style>
  <w:style w:type="character" w:customStyle="1" w:styleId="74">
    <w:name w:val="font81"/>
    <w:basedOn w:val="29"/>
    <w:autoRedefine/>
    <w:qFormat/>
    <w:uiPriority w:val="0"/>
    <w:rPr>
      <w:rFonts w:hint="eastAsia" w:ascii="宋体" w:hAnsi="宋体" w:eastAsia="宋体" w:cs="宋体"/>
      <w:color w:val="000000"/>
      <w:sz w:val="18"/>
      <w:szCs w:val="18"/>
      <w:u w:val="none"/>
    </w:rPr>
  </w:style>
  <w:style w:type="character" w:customStyle="1" w:styleId="75">
    <w:name w:val="font51"/>
    <w:basedOn w:val="29"/>
    <w:autoRedefine/>
    <w:qFormat/>
    <w:uiPriority w:val="0"/>
    <w:rPr>
      <w:rFonts w:ascii="ˎ̥" w:hAnsi="ˎ̥" w:eastAsia="ˎ̥" w:cs="ˎ̥"/>
      <w:color w:val="000000"/>
      <w:sz w:val="18"/>
      <w:szCs w:val="18"/>
      <w:u w:val="none"/>
    </w:rPr>
  </w:style>
  <w:style w:type="paragraph" w:styleId="76">
    <w:name w:val="List Paragraph"/>
    <w:basedOn w:val="1"/>
    <w:autoRedefine/>
    <w:qFormat/>
    <w:uiPriority w:val="1"/>
    <w:pPr>
      <w:ind w:left="1197" w:hanging="510"/>
    </w:pPr>
    <w:rPr>
      <w:rFonts w:ascii="宋体" w:hAnsi="宋体" w:cs="宋体"/>
      <w:lang w:val="zh-CN" w:bidi="zh-CN"/>
    </w:rPr>
  </w:style>
  <w:style w:type="character" w:customStyle="1" w:styleId="77">
    <w:name w:val="c-icon30"/>
    <w:basedOn w:val="29"/>
    <w:autoRedefine/>
    <w:qFormat/>
    <w:uiPriority w:val="0"/>
  </w:style>
  <w:style w:type="character" w:customStyle="1" w:styleId="78">
    <w:name w:val="hover26"/>
    <w:basedOn w:val="29"/>
    <w:autoRedefine/>
    <w:qFormat/>
    <w:uiPriority w:val="0"/>
  </w:style>
  <w:style w:type="character" w:customStyle="1" w:styleId="79">
    <w:name w:val="hover27"/>
    <w:basedOn w:val="29"/>
    <w:autoRedefine/>
    <w:qFormat/>
    <w:uiPriority w:val="0"/>
    <w:rPr>
      <w:color w:val="315EFB"/>
    </w:rPr>
  </w:style>
  <w:style w:type="paragraph" w:customStyle="1" w:styleId="80">
    <w:name w:val="Other|1"/>
    <w:basedOn w:val="1"/>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81">
    <w:name w:val="c-icon28"/>
    <w:basedOn w:val="29"/>
    <w:qFormat/>
    <w:uiPriority w:val="0"/>
  </w:style>
  <w:style w:type="character" w:customStyle="1" w:styleId="82">
    <w:name w:val="hover24"/>
    <w:basedOn w:val="29"/>
    <w:autoRedefine/>
    <w:qFormat/>
    <w:uiPriority w:val="0"/>
  </w:style>
  <w:style w:type="character" w:customStyle="1" w:styleId="83">
    <w:name w:val="hover25"/>
    <w:basedOn w:val="29"/>
    <w:autoRedefine/>
    <w:qFormat/>
    <w:uiPriority w:val="0"/>
    <w:rPr>
      <w:color w:val="315EFB"/>
    </w:rPr>
  </w:style>
  <w:style w:type="character" w:customStyle="1" w:styleId="84">
    <w:name w:val="c-icon26"/>
    <w:basedOn w:val="29"/>
    <w:autoRedefine/>
    <w:qFormat/>
    <w:uiPriority w:val="0"/>
  </w:style>
  <w:style w:type="paragraph" w:customStyle="1" w:styleId="85">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6">
    <w:name w:val="正文_3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列出段落2"/>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Info spid="_x0000_s1027"/>
    <customShpInfo spid="_x0000_s1042"/>
    <customShpInfo spid="_x0000_s1043"/>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37</Pages>
  <Words>23983</Words>
  <Characters>25011</Characters>
  <Lines>1</Lines>
  <Paragraphs>1</Paragraphs>
  <TotalTime>5</TotalTime>
  <ScaleCrop>false</ScaleCrop>
  <LinksUpToDate>false</LinksUpToDate>
  <CharactersWithSpaces>25814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lenovo</dc:creator>
  <cp:lastModifiedBy>薛娟</cp:lastModifiedBy>
  <cp:lastPrinted>2021-11-25T02:59:00Z</cp:lastPrinted>
  <dcterms:modified xsi:type="dcterms:W3CDTF">2023-12-12T07:23:59Z</dcterms:modified>
  <dc:title>常 州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CA79B12E18364B56BC624C626C706DB2</vt:lpwstr>
  </property>
</Properties>
</file>