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szCs w:val="44"/>
          <w:highlight w:val="none"/>
        </w:rPr>
      </w:pPr>
      <w:r>
        <w:rPr>
          <w:rFonts w:hint="eastAsia" w:ascii="宋体" w:hAnsi="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pPr>
        <w:rPr>
          <w:rFonts w:ascii="宋体" w:hAnsi="宋体" w:cs="宋体"/>
          <w:sz w:val="52"/>
          <w:szCs w:val="52"/>
          <w:highlight w:val="none"/>
        </w:rPr>
      </w:pPr>
    </w:p>
    <w:p>
      <w:pPr>
        <w:spacing w:line="680" w:lineRule="exact"/>
        <w:jc w:val="center"/>
        <w:rPr>
          <w:rFonts w:ascii="宋体" w:hAnsi="宋体" w:cs="宋体"/>
          <w:b/>
          <w:bCs/>
          <w:sz w:val="52"/>
          <w:szCs w:val="52"/>
          <w:highlight w:val="none"/>
        </w:rPr>
      </w:pPr>
    </w:p>
    <w:p>
      <w:pPr>
        <w:pStyle w:val="25"/>
        <w:rPr>
          <w:rFonts w:ascii="宋体" w:hAnsi="宋体" w:cs="宋体"/>
          <w:highlight w:val="none"/>
        </w:rPr>
      </w:pPr>
    </w:p>
    <w:p>
      <w:pPr>
        <w:spacing w:line="360" w:lineRule="auto"/>
        <w:jc w:val="center"/>
        <w:rPr>
          <w:rFonts w:ascii="宋体" w:hAnsi="宋体" w:cs="宋体"/>
          <w:b/>
          <w:bCs/>
          <w:w w:val="92"/>
          <w:sz w:val="72"/>
          <w:szCs w:val="72"/>
          <w:highlight w:val="none"/>
        </w:rPr>
      </w:pPr>
      <w:r>
        <w:rPr>
          <w:rFonts w:hint="eastAsia" w:ascii="宋体" w:hAnsi="宋体" w:cs="宋体"/>
          <w:b/>
          <w:bCs/>
          <w:w w:val="92"/>
          <w:sz w:val="72"/>
          <w:szCs w:val="72"/>
          <w:highlight w:val="none"/>
        </w:rPr>
        <w:t>竞 争 性 谈 判 文 件</w:t>
      </w:r>
    </w:p>
    <w:p>
      <w:pPr>
        <w:spacing w:line="680" w:lineRule="exact"/>
        <w:jc w:val="center"/>
        <w:rPr>
          <w:rFonts w:ascii="宋体" w:hAnsi="宋体" w:cs="宋体"/>
          <w:sz w:val="44"/>
          <w:szCs w:val="44"/>
          <w:highlight w:val="none"/>
        </w:rPr>
      </w:pPr>
    </w:p>
    <w:p>
      <w:pPr>
        <w:spacing w:line="680" w:lineRule="exact"/>
        <w:jc w:val="center"/>
        <w:rPr>
          <w:rFonts w:ascii="宋体" w:hAnsi="宋体" w:cs="宋体"/>
          <w:sz w:val="44"/>
          <w:szCs w:val="44"/>
          <w:highlight w:val="none"/>
        </w:rPr>
      </w:pPr>
    </w:p>
    <w:p>
      <w:pPr>
        <w:pStyle w:val="25"/>
        <w:rPr>
          <w:rFonts w:ascii="宋体" w:hAnsi="宋体" w:cs="宋体"/>
          <w:sz w:val="44"/>
          <w:szCs w:val="44"/>
          <w:highlight w:val="none"/>
        </w:rPr>
      </w:pPr>
    </w:p>
    <w:p>
      <w:pPr>
        <w:rPr>
          <w:highlight w:val="none"/>
        </w:rPr>
      </w:pPr>
    </w:p>
    <w:p>
      <w:pPr>
        <w:spacing w:line="680" w:lineRule="exact"/>
        <w:rPr>
          <w:rFonts w:ascii="宋体" w:hAnsi="宋体" w:cs="宋体"/>
          <w:sz w:val="44"/>
          <w:szCs w:val="44"/>
          <w:highlight w:val="none"/>
        </w:rPr>
      </w:pPr>
    </w:p>
    <w:p>
      <w:pPr>
        <w:spacing w:line="600" w:lineRule="auto"/>
        <w:ind w:left="630" w:leftChars="300"/>
        <w:rPr>
          <w:rFonts w:hint="eastAsia" w:ascii="宋体" w:hAnsi="宋体" w:eastAsia="宋体" w:cs="宋体"/>
          <w:sz w:val="28"/>
          <w:szCs w:val="28"/>
          <w:highlight w:val="none"/>
          <w:lang w:eastAsia="zh-CN"/>
        </w:rPr>
      </w:pPr>
      <w:r>
        <w:rPr>
          <w:rFonts w:hint="eastAsia" w:ascii="宋体" w:hAnsi="宋体" w:cs="宋体"/>
          <w:sz w:val="28"/>
          <w:szCs w:val="28"/>
          <w:highlight w:val="none"/>
        </w:rPr>
        <w:t>项目编号：青枫采竞-</w:t>
      </w:r>
      <w:r>
        <w:rPr>
          <w:rFonts w:hint="eastAsia" w:ascii="宋体" w:hAnsi="宋体" w:cs="宋体"/>
          <w:sz w:val="28"/>
          <w:szCs w:val="28"/>
          <w:highlight w:val="none"/>
          <w:lang w:eastAsia="zh-CN"/>
        </w:rPr>
        <w:t>2024009</w:t>
      </w:r>
    </w:p>
    <w:p>
      <w:pPr>
        <w:widowControl/>
        <w:spacing w:line="600" w:lineRule="auto"/>
        <w:ind w:left="630" w:leftChars="300"/>
        <w:rPr>
          <w:rFonts w:ascii="宋体" w:hAnsi="宋体" w:cs="宋体"/>
          <w:b/>
          <w:bCs/>
          <w:sz w:val="28"/>
          <w:szCs w:val="28"/>
          <w:highlight w:val="none"/>
        </w:rPr>
      </w:pPr>
      <w:r>
        <w:rPr>
          <w:rFonts w:hint="eastAsia" w:ascii="宋体" w:hAnsi="宋体" w:cs="宋体"/>
          <w:sz w:val="28"/>
          <w:szCs w:val="28"/>
          <w:highlight w:val="none"/>
        </w:rPr>
        <w:t>项目名称：怀普路（新普路-怀德中路）交通工程</w:t>
      </w:r>
    </w:p>
    <w:p>
      <w:pPr>
        <w:spacing w:line="600" w:lineRule="auto"/>
        <w:ind w:left="630" w:leftChars="300"/>
        <w:rPr>
          <w:rFonts w:ascii="宋体" w:hAnsi="宋体" w:cs="宋体"/>
          <w:sz w:val="28"/>
          <w:szCs w:val="28"/>
          <w:highlight w:val="none"/>
        </w:rPr>
      </w:pPr>
      <w:r>
        <w:rPr>
          <w:rFonts w:hint="eastAsia" w:ascii="宋体" w:hAnsi="宋体" w:cs="宋体"/>
          <w:sz w:val="28"/>
          <w:szCs w:val="28"/>
          <w:highlight w:val="none"/>
        </w:rPr>
        <w:t>采 购 人：常州市钟楼区住房和城乡建设局</w:t>
      </w:r>
    </w:p>
    <w:p>
      <w:pPr>
        <w:spacing w:line="480" w:lineRule="exact"/>
        <w:ind w:firstLine="420"/>
        <w:jc w:val="center"/>
        <w:rPr>
          <w:rFonts w:ascii="宋体" w:hAnsi="宋体" w:cs="宋体"/>
          <w:sz w:val="32"/>
          <w:szCs w:val="32"/>
          <w:highlight w:val="none"/>
        </w:rPr>
      </w:pPr>
    </w:p>
    <w:p>
      <w:pPr>
        <w:spacing w:line="480" w:lineRule="exact"/>
        <w:jc w:val="center"/>
        <w:rPr>
          <w:rFonts w:ascii="宋体" w:hAnsi="宋体" w:cs="宋体"/>
          <w:sz w:val="36"/>
          <w:szCs w:val="36"/>
          <w:highlight w:val="none"/>
        </w:rPr>
      </w:pPr>
    </w:p>
    <w:p>
      <w:pPr>
        <w:pStyle w:val="9"/>
        <w:rPr>
          <w:highlight w:val="none"/>
        </w:rPr>
      </w:pPr>
    </w:p>
    <w:p>
      <w:pPr>
        <w:spacing w:line="600" w:lineRule="auto"/>
        <w:jc w:val="center"/>
        <w:rPr>
          <w:rFonts w:ascii="宋体" w:hAnsi="宋体" w:cs="宋体"/>
          <w:sz w:val="36"/>
          <w:szCs w:val="36"/>
          <w:highlight w:val="none"/>
        </w:rPr>
      </w:pPr>
      <w:r>
        <w:rPr>
          <w:rFonts w:hint="eastAsia" w:ascii="宋体" w:hAnsi="宋体" w:cs="宋体"/>
          <w:sz w:val="36"/>
          <w:szCs w:val="36"/>
          <w:highlight w:val="none"/>
        </w:rPr>
        <w:t>常州青枫招标有限公司</w:t>
      </w:r>
    </w:p>
    <w:p>
      <w:pPr>
        <w:spacing w:line="600" w:lineRule="auto"/>
        <w:jc w:val="center"/>
        <w:rPr>
          <w:rFonts w:ascii="宋体" w:hAnsi="宋体" w:cs="宋体"/>
          <w:b/>
          <w:sz w:val="36"/>
          <w:szCs w:val="36"/>
          <w:highlight w:val="none"/>
        </w:rPr>
      </w:pPr>
      <w:r>
        <w:rPr>
          <w:rFonts w:hint="eastAsia" w:ascii="宋体" w:hAnsi="宋体" w:cs="宋体"/>
          <w:w w:val="90"/>
          <w:sz w:val="36"/>
          <w:szCs w:val="36"/>
          <w:highlight w:val="none"/>
        </w:rPr>
        <w:t>二〇二四年</w:t>
      </w:r>
      <w:r>
        <w:rPr>
          <w:rFonts w:hint="eastAsia" w:ascii="宋体" w:hAnsi="宋体" w:cs="宋体"/>
          <w:w w:val="90"/>
          <w:sz w:val="36"/>
          <w:szCs w:val="36"/>
          <w:highlight w:val="none"/>
        </w:rPr>
        <w:t>八</w:t>
      </w:r>
      <w:r>
        <w:rPr>
          <w:rFonts w:hint="eastAsia" w:ascii="宋体" w:hAnsi="宋体" w:cs="宋体"/>
          <w:w w:val="90"/>
          <w:sz w:val="36"/>
          <w:szCs w:val="36"/>
          <w:highlight w:val="none"/>
        </w:rPr>
        <w:t>月</w:t>
      </w:r>
    </w:p>
    <w:p>
      <w:pPr>
        <w:spacing w:line="600" w:lineRule="auto"/>
        <w:ind w:firstLine="315"/>
        <w:jc w:val="center"/>
        <w:rPr>
          <w:rFonts w:ascii="宋体" w:hAnsi="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pPr>
        <w:jc w:val="center"/>
        <w:rPr>
          <w:rFonts w:ascii="宋体" w:hAnsi="宋体" w:cs="宋体"/>
          <w:b/>
          <w:bCs/>
          <w:sz w:val="44"/>
          <w:szCs w:val="44"/>
          <w:highlight w:val="none"/>
        </w:rPr>
      </w:pPr>
      <w:bookmarkStart w:id="0" w:name="OLE_LINK8"/>
    </w:p>
    <w:p>
      <w:pPr>
        <w:jc w:val="center"/>
        <w:rPr>
          <w:rFonts w:ascii="宋体" w:hAnsi="宋体" w:cs="宋体"/>
          <w:b/>
          <w:bCs/>
          <w:sz w:val="44"/>
          <w:szCs w:val="44"/>
          <w:highlight w:val="none"/>
        </w:rPr>
      </w:pPr>
      <w:r>
        <w:rPr>
          <w:rFonts w:hint="eastAsia" w:ascii="宋体" w:hAnsi="宋体" w:cs="宋体"/>
          <w:b/>
          <w:bCs/>
          <w:sz w:val="44"/>
          <w:szCs w:val="44"/>
          <w:highlight w:val="none"/>
        </w:rPr>
        <w:t>目  录</w:t>
      </w:r>
    </w:p>
    <w:p>
      <w:pPr>
        <w:pStyle w:val="25"/>
        <w:rPr>
          <w:rFonts w:ascii="宋体" w:hAnsi="宋体" w:cs="宋体"/>
          <w:highlight w:val="none"/>
        </w:rPr>
      </w:pPr>
    </w:p>
    <w:p>
      <w:pPr>
        <w:pStyle w:val="21"/>
        <w:tabs>
          <w:tab w:val="right" w:leader="dot" w:pos="8844"/>
        </w:tabs>
        <w:spacing w:line="900" w:lineRule="exact"/>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"_Toc15637" </w:instrText>
      </w:r>
      <w:r>
        <w:rPr>
          <w:highlight w:val="none"/>
        </w:rPr>
        <w:fldChar w:fldCharType="separate"/>
      </w:r>
      <w:r>
        <w:rPr>
          <w:rFonts w:hint="eastAsia" w:ascii="宋体" w:hAnsi="宋体" w:cs="宋体"/>
          <w:bCs/>
          <w:sz w:val="28"/>
          <w:szCs w:val="28"/>
          <w:highlight w:val="none"/>
        </w:rPr>
        <w:t>竞争性谈判公告</w:t>
      </w:r>
      <w:r>
        <w:rPr>
          <w:rFonts w:hint="eastAsia" w:ascii="宋体" w:hAnsi="宋体" w:cs="宋体"/>
          <w:sz w:val="28"/>
          <w:szCs w:val="28"/>
          <w:highlight w:val="none"/>
        </w:rPr>
        <w:tab/>
      </w:r>
      <w:r>
        <w:rPr>
          <w:rFonts w:hint="eastAsia" w:ascii="宋体" w:hAnsi="宋体" w:cs="宋体"/>
          <w:sz w:val="28"/>
          <w:szCs w:val="28"/>
          <w:highlight w:val="none"/>
        </w:rPr>
        <w:t>3</w:t>
      </w:r>
      <w:r>
        <w:rPr>
          <w:rFonts w:hint="eastAsia" w:ascii="宋体" w:hAnsi="宋体" w:cs="宋体"/>
          <w:sz w:val="28"/>
          <w:szCs w:val="28"/>
          <w:highlight w:val="none"/>
        </w:rPr>
        <w:fldChar w:fldCharType="end"/>
      </w:r>
    </w:p>
    <w:p>
      <w:pPr>
        <w:pStyle w:val="21"/>
        <w:tabs>
          <w:tab w:val="right" w:leader="dot" w:pos="8844"/>
        </w:tabs>
        <w:spacing w:line="900" w:lineRule="exact"/>
        <w:rPr>
          <w:rFonts w:ascii="宋体" w:hAnsi="宋体" w:cs="宋体"/>
          <w:sz w:val="28"/>
          <w:szCs w:val="28"/>
          <w:highlight w:val="none"/>
        </w:rPr>
      </w:pPr>
      <w:r>
        <w:rPr>
          <w:highlight w:val="none"/>
        </w:rPr>
        <w:fldChar w:fldCharType="begin"/>
      </w:r>
      <w:r>
        <w:rPr>
          <w:highlight w:val="none"/>
        </w:rPr>
        <w:instrText xml:space="preserve"> HYPERLINK \l "_Toc5347" </w:instrText>
      </w:r>
      <w:r>
        <w:rPr>
          <w:highlight w:val="none"/>
        </w:rPr>
        <w:fldChar w:fldCharType="separate"/>
      </w:r>
      <w:r>
        <w:rPr>
          <w:rFonts w:hint="eastAsia" w:ascii="宋体" w:hAnsi="宋体" w:cs="宋体"/>
          <w:bCs/>
          <w:kern w:val="0"/>
          <w:sz w:val="28"/>
          <w:szCs w:val="28"/>
          <w:highlight w:val="none"/>
        </w:rPr>
        <w:t>第一章  总则</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pPr>
        <w:pStyle w:val="21"/>
        <w:tabs>
          <w:tab w:val="right" w:leader="dot" w:pos="8844"/>
        </w:tabs>
        <w:spacing w:line="900" w:lineRule="exact"/>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"_Toc16309" </w:instrText>
      </w:r>
      <w:r>
        <w:rPr>
          <w:highlight w:val="none"/>
        </w:rPr>
        <w:fldChar w:fldCharType="separate"/>
      </w:r>
      <w:r>
        <w:rPr>
          <w:rFonts w:hint="eastAsia" w:ascii="宋体" w:hAnsi="宋体" w:cs="宋体"/>
          <w:sz w:val="28"/>
          <w:szCs w:val="28"/>
          <w:highlight w:val="none"/>
        </w:rPr>
        <w:t>第二章  响应文件的组成</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8</w:t>
      </w:r>
    </w:p>
    <w:p>
      <w:pPr>
        <w:pStyle w:val="21"/>
        <w:tabs>
          <w:tab w:val="right" w:leader="dot" w:pos="8844"/>
        </w:tabs>
        <w:spacing w:line="900" w:lineRule="exact"/>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"_Toc953" </w:instrText>
      </w:r>
      <w:r>
        <w:rPr>
          <w:highlight w:val="none"/>
        </w:rPr>
        <w:fldChar w:fldCharType="separate"/>
      </w:r>
      <w:r>
        <w:rPr>
          <w:rFonts w:hint="eastAsia" w:ascii="宋体" w:hAnsi="宋体" w:cs="宋体"/>
          <w:sz w:val="28"/>
          <w:szCs w:val="28"/>
          <w:highlight w:val="none"/>
        </w:rPr>
        <w:t>第三章  谈判内容及技术要求</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9</w:t>
      </w:r>
    </w:p>
    <w:p>
      <w:pPr>
        <w:pStyle w:val="21"/>
        <w:tabs>
          <w:tab w:val="right" w:leader="dot" w:pos="8844"/>
        </w:tabs>
        <w:spacing w:line="900" w:lineRule="exact"/>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"_Toc6323" </w:instrText>
      </w:r>
      <w:r>
        <w:rPr>
          <w:highlight w:val="none"/>
        </w:rPr>
        <w:fldChar w:fldCharType="separate"/>
      </w:r>
      <w:r>
        <w:rPr>
          <w:rFonts w:hint="eastAsia" w:ascii="宋体" w:hAnsi="宋体" w:cs="宋体"/>
          <w:bCs/>
          <w:sz w:val="28"/>
          <w:szCs w:val="28"/>
          <w:highlight w:val="none"/>
        </w:rPr>
        <w:t>第四章  合同主要条款（参考）</w:t>
      </w:r>
      <w:r>
        <w:rPr>
          <w:rFonts w:hint="eastAsia" w:ascii="宋体" w:hAnsi="宋体" w:cs="宋体"/>
          <w:sz w:val="28"/>
          <w:szCs w:val="28"/>
          <w:highlight w:val="none"/>
        </w:rPr>
        <w:tab/>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w:t>
      </w:r>
    </w:p>
    <w:p>
      <w:pPr>
        <w:pStyle w:val="21"/>
        <w:tabs>
          <w:tab w:val="right" w:leader="dot" w:pos="8844"/>
        </w:tabs>
        <w:spacing w:line="900" w:lineRule="exact"/>
        <w:rPr>
          <w:rFonts w:ascii="宋体" w:hAnsi="宋体" w:cs="宋体"/>
          <w:sz w:val="28"/>
          <w:szCs w:val="28"/>
          <w:highlight w:val="none"/>
        </w:rPr>
      </w:pPr>
      <w:r>
        <w:rPr>
          <w:highlight w:val="none"/>
        </w:rPr>
        <w:fldChar w:fldCharType="begin"/>
      </w:r>
      <w:r>
        <w:rPr>
          <w:highlight w:val="none"/>
        </w:rPr>
        <w:instrText xml:space="preserve"> HYPERLINK \l "_Toc27493" </w:instrText>
      </w:r>
      <w:r>
        <w:rPr>
          <w:highlight w:val="none"/>
        </w:rPr>
        <w:fldChar w:fldCharType="separate"/>
      </w:r>
      <w:r>
        <w:rPr>
          <w:rFonts w:hint="eastAsia" w:ascii="宋体" w:hAnsi="宋体" w:cs="宋体"/>
          <w:sz w:val="28"/>
          <w:szCs w:val="28"/>
          <w:highlight w:val="none"/>
        </w:rPr>
        <w:t>第五章  评标细则</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r>
        <w:rPr>
          <w:rFonts w:hint="eastAsia" w:ascii="宋体" w:hAnsi="宋体" w:cs="宋体"/>
          <w:sz w:val="28"/>
          <w:szCs w:val="28"/>
          <w:highlight w:val="none"/>
        </w:rPr>
        <w:t>7</w:t>
      </w:r>
    </w:p>
    <w:p>
      <w:pPr>
        <w:pStyle w:val="21"/>
        <w:tabs>
          <w:tab w:val="right" w:leader="dot" w:pos="8844"/>
        </w:tabs>
        <w:spacing w:line="900" w:lineRule="exact"/>
        <w:rPr>
          <w:rFonts w:ascii="宋体" w:hAnsi="宋体" w:cs="宋体"/>
          <w:sz w:val="28"/>
          <w:szCs w:val="28"/>
          <w:highlight w:val="none"/>
        </w:rPr>
      </w:pPr>
      <w:r>
        <w:rPr>
          <w:highlight w:val="none"/>
        </w:rPr>
        <w:fldChar w:fldCharType="begin"/>
      </w:r>
      <w:r>
        <w:rPr>
          <w:highlight w:val="none"/>
        </w:rPr>
        <w:instrText xml:space="preserve"> HYPERLINK \l "_Toc24673" </w:instrText>
      </w:r>
      <w:r>
        <w:rPr>
          <w:highlight w:val="none"/>
        </w:rPr>
        <w:fldChar w:fldCharType="separate"/>
      </w:r>
      <w:r>
        <w:rPr>
          <w:rFonts w:hint="eastAsia" w:ascii="宋体" w:hAnsi="宋体" w:cs="宋体"/>
          <w:sz w:val="28"/>
          <w:szCs w:val="28"/>
          <w:highlight w:val="none"/>
        </w:rPr>
        <w:t>第六章  附件</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r>
        <w:rPr>
          <w:rFonts w:hint="eastAsia" w:ascii="宋体" w:hAnsi="宋体" w:cs="宋体"/>
          <w:sz w:val="28"/>
          <w:szCs w:val="28"/>
          <w:highlight w:val="none"/>
        </w:rPr>
        <w:t>8</w:t>
      </w:r>
    </w:p>
    <w:p>
      <w:pPr>
        <w:pStyle w:val="21"/>
        <w:tabs>
          <w:tab w:val="right" w:leader="dot" w:pos="8844"/>
        </w:tabs>
        <w:spacing w:line="900" w:lineRule="exact"/>
        <w:rPr>
          <w:rFonts w:ascii="宋体" w:hAnsi="宋体" w:cs="宋体"/>
          <w:sz w:val="28"/>
          <w:szCs w:val="28"/>
          <w:highlight w:val="none"/>
        </w:rPr>
      </w:pPr>
      <w:r>
        <w:rPr>
          <w:highlight w:val="none"/>
        </w:rPr>
        <w:fldChar w:fldCharType="begin"/>
      </w:r>
      <w:r>
        <w:rPr>
          <w:highlight w:val="none"/>
        </w:rPr>
        <w:instrText xml:space="preserve"> HYPERLINK \l "_Toc124" </w:instrText>
      </w:r>
      <w:r>
        <w:rPr>
          <w:highlight w:val="none"/>
        </w:rPr>
        <w:fldChar w:fldCharType="separate"/>
      </w:r>
      <w:r>
        <w:rPr>
          <w:rFonts w:hint="eastAsia" w:ascii="宋体" w:hAnsi="宋体" w:cs="宋体"/>
          <w:sz w:val="28"/>
          <w:szCs w:val="28"/>
          <w:highlight w:val="none"/>
        </w:rPr>
        <w:t>友情提醒</w:t>
      </w:r>
      <w:r>
        <w:rPr>
          <w:rFonts w:hint="eastAsia" w:ascii="宋体" w:hAnsi="宋体" w:cs="宋体"/>
          <w:sz w:val="28"/>
          <w:szCs w:val="28"/>
          <w:highlight w:val="none"/>
        </w:rPr>
        <w:tab/>
      </w:r>
      <w:r>
        <w:rPr>
          <w:rFonts w:hint="eastAsia" w:ascii="宋体" w:hAnsi="宋体" w:cs="宋体"/>
          <w:sz w:val="28"/>
          <w:szCs w:val="28"/>
          <w:highlight w:val="none"/>
          <w:lang w:val="en-US" w:eastAsia="zh-CN"/>
        </w:rPr>
        <w:t>8</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0</w:t>
      </w:r>
    </w:p>
    <w:p>
      <w:pPr>
        <w:spacing w:line="480" w:lineRule="auto"/>
        <w:jc w:val="center"/>
        <w:rPr>
          <w:rFonts w:ascii="宋体" w:hAnsi="宋体" w:cs="宋体"/>
          <w:sz w:val="28"/>
          <w:szCs w:val="28"/>
          <w:highlight w:val="none"/>
        </w:rPr>
        <w:sectPr>
          <w:footerReference r:id="rId5" w:type="default"/>
          <w:pgSz w:w="11906" w:h="16838"/>
          <w:pgMar w:top="1361" w:right="1474" w:bottom="1361" w:left="1758" w:header="850" w:footer="992" w:gutter="0"/>
          <w:pgNumType w:chapStyle="1"/>
          <w:cols w:space="720" w:num="1"/>
          <w:docGrid w:type="lines" w:linePitch="312" w:charSpace="0"/>
        </w:sectPr>
      </w:pPr>
      <w:r>
        <w:rPr>
          <w:rFonts w:hint="eastAsia" w:ascii="宋体" w:hAnsi="宋体" w:cs="宋体"/>
          <w:sz w:val="28"/>
          <w:szCs w:val="28"/>
          <w:highlight w:val="none"/>
        </w:rPr>
        <w:fldChar w:fldCharType="end"/>
      </w:r>
      <w:bookmarkStart w:id="165" w:name="_GoBack"/>
      <w:bookmarkEnd w:id="165"/>
    </w:p>
    <w:p>
      <w:pPr>
        <w:spacing w:line="480" w:lineRule="auto"/>
        <w:jc w:val="center"/>
        <w:rPr>
          <w:rFonts w:ascii="宋体" w:hAnsi="宋体" w:cs="宋体"/>
          <w:szCs w:val="21"/>
          <w:highlight w:val="none"/>
        </w:rPr>
      </w:pPr>
      <w:r>
        <w:rPr>
          <w:rFonts w:hint="eastAsia" w:ascii="宋体" w:hAnsi="宋体" w:cs="宋体"/>
          <w:b/>
          <w:bCs/>
          <w:sz w:val="28"/>
          <w:szCs w:val="28"/>
          <w:highlight w:val="none"/>
        </w:rPr>
        <w:t>竞争性谈判公告</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spacing w:line="380" w:lineRule="exact"/>
              <w:jc w:val="left"/>
              <w:rPr>
                <w:rFonts w:ascii="宋体" w:hAnsi="宋体" w:cs="宋体"/>
                <w:szCs w:val="21"/>
                <w:highlight w:val="none"/>
              </w:rPr>
            </w:pPr>
            <w:r>
              <w:rPr>
                <w:rFonts w:hint="eastAsia" w:ascii="宋体" w:hAnsi="宋体" w:cs="宋体"/>
                <w:b/>
                <w:bCs/>
                <w:szCs w:val="21"/>
                <w:highlight w:val="none"/>
              </w:rPr>
              <w:t>项目概况</w:t>
            </w:r>
          </w:p>
          <w:p>
            <w:pPr>
              <w:pStyle w:val="25"/>
              <w:spacing w:line="360" w:lineRule="exact"/>
              <w:rPr>
                <w:rFonts w:ascii="宋体" w:hAnsi="宋体" w:cs="宋体"/>
                <w:highlight w:val="none"/>
              </w:rPr>
            </w:pPr>
            <w:r>
              <w:rPr>
                <w:rFonts w:hint="eastAsia" w:ascii="宋体" w:hAnsi="宋体" w:cs="宋体"/>
                <w:b/>
                <w:bCs/>
                <w:szCs w:val="21"/>
                <w:highlight w:val="none"/>
                <w:u w:val="single"/>
              </w:rPr>
              <w:t>怀普路（新普路-怀德中路）交通工程</w:t>
            </w:r>
            <w:r>
              <w:rPr>
                <w:rFonts w:hint="eastAsia" w:ascii="宋体" w:hAnsi="宋体" w:cs="宋体"/>
                <w:szCs w:val="21"/>
                <w:highlight w:val="none"/>
              </w:rPr>
              <w:t>采购项目的潜在供应商应在</w:t>
            </w:r>
            <w:r>
              <w:rPr>
                <w:rFonts w:hint="eastAsia" w:ascii="宋体" w:hAnsi="宋体" w:cs="宋体"/>
                <w:b/>
                <w:bCs/>
                <w:szCs w:val="21"/>
                <w:highlight w:val="none"/>
                <w:u w:val="single"/>
              </w:rPr>
              <w:t>常州青枫招标有限公司网站</w:t>
            </w:r>
            <w:r>
              <w:rPr>
                <w:rFonts w:hint="eastAsia" w:ascii="宋体" w:hAnsi="宋体" w:cs="宋体"/>
                <w:szCs w:val="21"/>
                <w:highlight w:val="none"/>
              </w:rPr>
              <w:t>获取采购文件，</w:t>
            </w:r>
            <w:r>
              <w:rPr>
                <w:rFonts w:hint="eastAsia" w:ascii="宋体" w:hAnsi="宋体" w:cs="宋体"/>
                <w:b/>
                <w:bCs/>
                <w:szCs w:val="21"/>
                <w:highlight w:val="none"/>
              </w:rPr>
              <w:t>并于</w:t>
            </w:r>
            <w:r>
              <w:rPr>
                <w:rFonts w:hint="eastAsia" w:ascii="宋体" w:hAnsi="宋体" w:cs="宋体"/>
                <w:b/>
                <w:bCs/>
                <w:szCs w:val="21"/>
                <w:highlight w:val="none"/>
                <w:u w:val="single"/>
              </w:rPr>
              <w:t>2024年</w:t>
            </w:r>
            <w:r>
              <w:rPr>
                <w:rFonts w:hint="eastAsia" w:ascii="宋体" w:hAnsi="宋体" w:cs="宋体"/>
                <w:b/>
                <w:bCs/>
                <w:szCs w:val="21"/>
                <w:highlight w:val="none"/>
                <w:u w:val="single"/>
                <w:lang w:val="en-US" w:eastAsia="zh-CN"/>
              </w:rPr>
              <w:t>8</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13</w:t>
            </w:r>
            <w:r>
              <w:rPr>
                <w:rFonts w:hint="eastAsia" w:ascii="宋体" w:hAnsi="宋体" w:cs="宋体"/>
                <w:b/>
                <w:bCs/>
                <w:szCs w:val="21"/>
                <w:highlight w:val="none"/>
                <w:u w:val="single"/>
              </w:rPr>
              <w:t>日9点30分</w:t>
            </w:r>
            <w:r>
              <w:rPr>
                <w:rFonts w:hint="eastAsia" w:ascii="宋体" w:hAnsi="宋体" w:cs="宋体"/>
                <w:szCs w:val="21"/>
                <w:highlight w:val="none"/>
              </w:rPr>
              <w:t>（北京时间）前提交响应文件。</w:t>
            </w:r>
          </w:p>
        </w:tc>
      </w:tr>
    </w:tbl>
    <w:p>
      <w:pPr>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一、</w:t>
      </w:r>
      <w:r>
        <w:rPr>
          <w:rFonts w:hint="eastAsia" w:ascii="宋体" w:hAnsi="宋体" w:cs="宋体"/>
          <w:b/>
          <w:bCs/>
          <w:szCs w:val="21"/>
          <w:highlight w:val="none"/>
        </w:rPr>
        <w:t>项目基本情况</w:t>
      </w:r>
    </w:p>
    <w:p>
      <w:pPr>
        <w:widowControl/>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1.项目编号：青枫采竞-</w:t>
      </w:r>
      <w:r>
        <w:rPr>
          <w:rFonts w:hint="eastAsia" w:ascii="宋体" w:hAnsi="宋体" w:cs="宋体"/>
          <w:szCs w:val="21"/>
          <w:highlight w:val="none"/>
          <w:lang w:eastAsia="zh-CN"/>
        </w:rPr>
        <w:t>2024009</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2.项目名称：怀普路（新普路-怀德中路）交通工程</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3.采购方式：竞争性谈判</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b/>
          <w:bCs/>
          <w:szCs w:val="21"/>
          <w:highlight w:val="none"/>
        </w:rPr>
        <w:t>人民币贰拾肆万伍仟零壹拾玖元叁角肆分（¥245,019.34）</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5.最高限价：</w:t>
      </w:r>
      <w:r>
        <w:rPr>
          <w:rFonts w:hint="eastAsia" w:ascii="宋体" w:hAnsi="宋体" w:cs="宋体"/>
          <w:b/>
          <w:bCs/>
          <w:szCs w:val="21"/>
          <w:highlight w:val="none"/>
        </w:rPr>
        <w:t>人民币贰拾肆万伍仟零壹拾玖元叁角肆分（¥245,019.34）</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6.采购需求：本项为怀普路（新普路-怀德中路）交通工程。包括但不限于谈判文件及其基本技术要求范围内相应工程开工前的准备（包括现场踏勘、技术核对等）、技术资料、施工、技术服务、主管单位验收、质保期及维保服务和谈判文件所要求的相关工程等全部内容。</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7.合同履行期限：</w:t>
      </w:r>
      <w:r>
        <w:rPr>
          <w:rFonts w:hint="eastAsia" w:ascii="宋体" w:hAnsi="宋体" w:cs="宋体"/>
          <w:szCs w:val="21"/>
          <w:highlight w:val="none"/>
        </w:rPr>
        <w:t>收到采购人发出的书面开工后3日内开工，并在30个日历日内完工。</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8.本项目接受联合体投标。</w:t>
      </w:r>
    </w:p>
    <w:bookmarkEnd w:id="0"/>
    <w:p>
      <w:pPr>
        <w:spacing w:line="360" w:lineRule="auto"/>
        <w:rPr>
          <w:rFonts w:ascii="宋体" w:hAnsi="宋体" w:cs="宋体"/>
          <w:b/>
          <w:bCs/>
          <w:szCs w:val="21"/>
          <w:highlight w:val="none"/>
        </w:rPr>
      </w:pPr>
      <w:r>
        <w:rPr>
          <w:rFonts w:hint="eastAsia" w:ascii="宋体" w:hAnsi="宋体" w:cs="宋体"/>
          <w:b/>
          <w:bCs/>
          <w:szCs w:val="21"/>
          <w:highlight w:val="none"/>
        </w:rPr>
        <w:t>二、申请人的资格要求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2.落实政府采购政策需满足的资格要求：无</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pPr>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（1）具备公路交通工程专业承包（公路安全设施分项及公路机电工程分项）二级及以上资质</w:t>
      </w:r>
      <w:r>
        <w:rPr>
          <w:rFonts w:hint="eastAsia" w:ascii="宋体" w:hAnsi="宋体" w:cs="宋体"/>
          <w:color w:val="000000"/>
          <w:szCs w:val="21"/>
          <w:highlight w:val="none"/>
        </w:rPr>
        <w:t>且同时具备</w:t>
      </w:r>
      <w:r>
        <w:rPr>
          <w:rFonts w:hint="eastAsia" w:ascii="宋体" w:hAnsi="宋体" w:cs="宋体"/>
          <w:color w:val="000000"/>
          <w:szCs w:val="21"/>
          <w:highlight w:val="none"/>
        </w:rPr>
        <w:t>电子及智能化工程专业承包二级及以上资质，</w:t>
      </w:r>
      <w:r>
        <w:rPr>
          <w:rFonts w:hint="eastAsia" w:ascii="宋体" w:hAnsi="宋体" w:cs="宋体"/>
          <w:color w:val="000000"/>
          <w:szCs w:val="21"/>
          <w:highlight w:val="none"/>
        </w:rPr>
        <w:t>同时具有有效的安全生产许可证；</w:t>
      </w:r>
    </w:p>
    <w:p>
      <w:pPr>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（2）项目负责人具备</w:t>
      </w:r>
      <w:r>
        <w:rPr>
          <w:rFonts w:hint="eastAsia" w:ascii="宋体" w:hAnsi="宋体" w:cs="宋体"/>
          <w:color w:val="000000"/>
          <w:szCs w:val="21"/>
          <w:highlight w:val="none"/>
        </w:rPr>
        <w:t>机电工程专业贰级</w:t>
      </w:r>
      <w:r>
        <w:rPr>
          <w:rFonts w:hint="eastAsia" w:ascii="宋体" w:hAnsi="宋体" w:cs="宋体"/>
          <w:color w:val="000000"/>
          <w:szCs w:val="21"/>
          <w:highlight w:val="none"/>
        </w:rPr>
        <w:t>及以上注册建造师资格，同时具有安全生产考核合格证书（B证）；</w:t>
      </w:r>
    </w:p>
    <w:p>
      <w:pPr>
        <w:spacing w:line="360" w:lineRule="auto"/>
        <w:ind w:firstLine="420" w:firstLineChars="200"/>
        <w:rPr>
          <w:rFonts w:ascii="宋体" w:hAnsi="宋体" w:cs="宋体"/>
          <w:b/>
          <w:bCs/>
          <w:szCs w:val="21"/>
          <w:highlight w:val="none"/>
        </w:rPr>
      </w:pPr>
      <w:r>
        <w:rPr>
          <w:rFonts w:hint="eastAsia" w:ascii="宋体" w:hAnsi="宋体" w:cs="宋体"/>
          <w:color w:val="000000"/>
          <w:szCs w:val="21"/>
          <w:highlight w:val="none"/>
        </w:rPr>
        <w:t>（3）若供应商采用联合体投标，</w:t>
      </w:r>
      <w:r>
        <w:rPr>
          <w:rFonts w:hint="eastAsia" w:ascii="宋体" w:hAnsi="宋体" w:cs="宋体"/>
          <w:color w:val="000000"/>
          <w:szCs w:val="21"/>
          <w:highlight w:val="none"/>
        </w:rPr>
        <w:t>则主办单位必须为具有电子及智能化工程专业承包二级及以上资质的单位</w:t>
      </w:r>
      <w:r>
        <w:rPr>
          <w:rFonts w:hint="eastAsia" w:ascii="宋体" w:hAnsi="宋体" w:cs="宋体"/>
          <w:color w:val="000000"/>
          <w:szCs w:val="21"/>
          <w:highlight w:val="none"/>
        </w:rPr>
        <w:t>，并具备相关材料：联合体投标协议书；联合体各方企业营业执照副本；联合体各方资质证书。同一家企业不得与两家及以上企业组成联合体参加投标，否则将取消所有涉及该联合体的投标资格。</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zh-CN"/>
        </w:rPr>
        <w:t>供应商近三年（从招标公告发布之日向前推算，以合同签订时间为准）</w:t>
      </w:r>
      <w:r>
        <w:rPr>
          <w:rFonts w:hint="eastAsia" w:ascii="宋体" w:hAnsi="宋体" w:cs="宋体"/>
          <w:szCs w:val="21"/>
          <w:highlight w:val="none"/>
        </w:rPr>
        <w:t>具有类似</w:t>
      </w:r>
      <w:r>
        <w:rPr>
          <w:rFonts w:hint="eastAsia" w:ascii="宋体" w:hAnsi="宋体" w:cs="宋体"/>
          <w:szCs w:val="21"/>
          <w:highlight w:val="none"/>
          <w:lang w:val="zh-CN"/>
        </w:rPr>
        <w:t>业绩，</w:t>
      </w:r>
      <w:r>
        <w:rPr>
          <w:rFonts w:hint="eastAsia" w:ascii="宋体" w:hAnsi="宋体" w:cs="宋体"/>
          <w:szCs w:val="21"/>
          <w:highlight w:val="none"/>
        </w:rPr>
        <w:t>同时具备对应合同的验收记录及与合同项目对应的付款发票(发票备注栏备注项目名称，或提供付款凭证)</w:t>
      </w:r>
      <w:r>
        <w:rPr>
          <w:rFonts w:hint="eastAsia" w:ascii="宋体" w:hAnsi="宋体" w:cs="宋体"/>
          <w:szCs w:val="21"/>
          <w:highlight w:val="none"/>
          <w:lang w:val="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（5）单位负责人为同一人或者存在直接控股、管理关系的不同供应商，不得参加同一合同项下的采购活动；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（6）未被“信用中国”网站（www.creditchina.gov.cn）、中国政府采购网(www.ccgp.gov.cn)列入失信被执行人、重大税收违法失信主体、政府采购严重违法失信行为记录名单。</w:t>
      </w:r>
    </w:p>
    <w:p>
      <w:pPr>
        <w:spacing w:line="360" w:lineRule="auto"/>
        <w:rPr>
          <w:rFonts w:ascii="宋体" w:hAnsi="宋体" w:cs="宋体"/>
          <w:b/>
          <w:bCs/>
          <w:szCs w:val="21"/>
          <w:highlight w:val="none"/>
        </w:rPr>
      </w:pPr>
      <w:r>
        <w:rPr>
          <w:rFonts w:hint="eastAsia" w:ascii="宋体" w:hAnsi="宋体" w:cs="宋体"/>
          <w:b/>
          <w:bCs/>
          <w:szCs w:val="21"/>
          <w:highlight w:val="none"/>
        </w:rPr>
        <w:t>三、获取采购文件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2024年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至2024年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13</w:t>
      </w:r>
      <w:r>
        <w:rPr>
          <w:rFonts w:hint="eastAsia" w:ascii="宋体" w:hAnsi="宋体" w:cs="宋体"/>
          <w:b/>
          <w:bCs/>
          <w:szCs w:val="21"/>
          <w:highlight w:val="none"/>
        </w:rPr>
        <w:t>日9点30分前</w:t>
      </w:r>
      <w:r>
        <w:rPr>
          <w:rFonts w:hint="eastAsia" w:ascii="宋体" w:hAnsi="宋体" w:cs="宋体"/>
          <w:szCs w:val="21"/>
          <w:highlight w:val="none"/>
        </w:rPr>
        <w:t>（北京时间）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3.售价：人民币伍佰元整（该费用需在响应文件递交前缴纳，否则其响应文件将被拒绝）</w:t>
      </w:r>
    </w:p>
    <w:p>
      <w:pPr>
        <w:spacing w:line="360" w:lineRule="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2024年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13</w:t>
      </w:r>
      <w:r>
        <w:rPr>
          <w:rFonts w:hint="eastAsia" w:ascii="宋体" w:hAnsi="宋体" w:cs="宋体"/>
          <w:b/>
          <w:bCs/>
          <w:szCs w:val="21"/>
          <w:highlight w:val="none"/>
        </w:rPr>
        <w:t>日9点30分</w:t>
      </w:r>
      <w:r>
        <w:rPr>
          <w:rFonts w:hint="eastAsia" w:ascii="宋体" w:hAnsi="宋体" w:cs="宋体"/>
          <w:szCs w:val="21"/>
          <w:highlight w:val="none"/>
        </w:rPr>
        <w:t>（北京时间）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2.地点：常州市钟楼区运河路198号博济新博智汇谷5栋202室</w:t>
      </w:r>
    </w:p>
    <w:p>
      <w:pPr>
        <w:spacing w:line="360" w:lineRule="auto"/>
        <w:rPr>
          <w:rFonts w:ascii="宋体" w:hAnsi="宋体" w:cs="宋体"/>
          <w:b/>
          <w:bCs/>
          <w:szCs w:val="21"/>
          <w:highlight w:val="none"/>
        </w:rPr>
      </w:pPr>
      <w:r>
        <w:rPr>
          <w:rFonts w:hint="eastAsia" w:ascii="宋体" w:hAnsi="宋体" w:cs="宋体"/>
          <w:b/>
          <w:bCs/>
          <w:szCs w:val="21"/>
          <w:highlight w:val="none"/>
        </w:rPr>
        <w:t>五、公告期限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自本公告发布之日起3个工作日。</w:t>
      </w:r>
    </w:p>
    <w:p>
      <w:pPr>
        <w:spacing w:line="360" w:lineRule="auto"/>
        <w:rPr>
          <w:rFonts w:ascii="宋体" w:hAnsi="宋体" w:cs="宋体"/>
          <w:b/>
          <w:bCs/>
          <w:szCs w:val="21"/>
          <w:highlight w:val="none"/>
        </w:rPr>
      </w:pPr>
      <w:r>
        <w:rPr>
          <w:rFonts w:hint="eastAsia" w:ascii="宋体" w:hAnsi="宋体" w:cs="宋体"/>
          <w:b/>
          <w:bCs/>
          <w:szCs w:val="21"/>
          <w:highlight w:val="none"/>
        </w:rPr>
        <w:t>六、其他补充事宜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1.谈判保证金</w:t>
      </w:r>
    </w:p>
    <w:p>
      <w:pPr>
        <w:spacing w:line="360" w:lineRule="auto"/>
        <w:ind w:firstLine="405"/>
        <w:rPr>
          <w:rFonts w:ascii="宋体" w:hAnsi="宋体" w:cs="宋体"/>
          <w:b/>
          <w:szCs w:val="21"/>
          <w:highlight w:val="none"/>
        </w:rPr>
      </w:pPr>
      <w:r>
        <w:rPr>
          <w:rFonts w:hint="eastAsia" w:ascii="宋体" w:hAnsi="宋体" w:cs="宋体"/>
          <w:szCs w:val="21"/>
          <w:highlight w:val="none"/>
        </w:rPr>
        <w:t>（1）谈判保证金数额：</w:t>
      </w:r>
      <w:r>
        <w:rPr>
          <w:rFonts w:hint="eastAsia" w:ascii="宋体" w:hAnsi="宋体" w:cs="宋体"/>
          <w:b/>
          <w:bCs/>
          <w:color w:val="000000"/>
          <w:szCs w:val="21"/>
          <w:highlight w:val="none"/>
        </w:rPr>
        <w:t>人民币</w:t>
      </w:r>
      <w:r>
        <w:rPr>
          <w:rFonts w:hint="eastAsia" w:ascii="宋体" w:hAnsi="宋体" w:cs="宋体"/>
          <w:b/>
          <w:bCs/>
          <w:color w:val="000000"/>
          <w:highlight w:val="none"/>
        </w:rPr>
        <w:t>肆仟玖佰元整（¥4,900.00）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（2）收款单位：常州青枫招标有限公司</w:t>
      </w:r>
    </w:p>
    <w:p>
      <w:pPr>
        <w:spacing w:line="360" w:lineRule="auto"/>
        <w:ind w:firstLine="840" w:firstLineChars="400"/>
        <w:rPr>
          <w:rFonts w:ascii="宋体" w:hAnsi="宋体" w:cs="宋体"/>
          <w:szCs w:val="21"/>
          <w:highlight w:val="none"/>
        </w:rPr>
      </w:pPr>
      <w:r>
        <w:rPr>
          <w:rFonts w:hint="eastAsia" w:ascii="宋体" w:hAnsi="宋体" w:cs="宋体"/>
          <w:szCs w:val="21"/>
          <w:highlight w:val="none"/>
        </w:rPr>
        <w:t>开户银行：江苏银行常州钟楼支行</w:t>
      </w:r>
    </w:p>
    <w:p>
      <w:pPr>
        <w:tabs>
          <w:tab w:val="center" w:pos="4310"/>
        </w:tabs>
        <w:spacing w:line="360" w:lineRule="auto"/>
        <w:ind w:firstLine="840" w:firstLineChars="400"/>
        <w:rPr>
          <w:rFonts w:ascii="宋体" w:hAnsi="宋体" w:cs="宋体"/>
          <w:szCs w:val="21"/>
          <w:highlight w:val="none"/>
        </w:rPr>
      </w:pPr>
      <w:r>
        <w:rPr>
          <w:rFonts w:hint="eastAsia" w:ascii="宋体" w:hAnsi="宋体" w:cs="宋体"/>
          <w:szCs w:val="21"/>
          <w:highlight w:val="none"/>
        </w:rPr>
        <w:t xml:space="preserve">银行账号：808 00188 000 172788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（3）谈判保证金到账截止日期：</w:t>
      </w:r>
      <w:r>
        <w:rPr>
          <w:rFonts w:hint="eastAsia" w:ascii="宋体" w:hAnsi="宋体" w:cs="宋体"/>
          <w:b/>
          <w:bCs/>
          <w:szCs w:val="21"/>
          <w:highlight w:val="none"/>
        </w:rPr>
        <w:t>2024年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13</w:t>
      </w:r>
      <w:r>
        <w:rPr>
          <w:rFonts w:hint="eastAsia" w:ascii="宋体" w:hAnsi="宋体" w:cs="宋体"/>
          <w:b/>
          <w:bCs/>
          <w:szCs w:val="21"/>
          <w:highlight w:val="none"/>
        </w:rPr>
        <w:t>日9点30分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（4）谈判保证金交纳方式：支票转账、电汇或网银</w:t>
      </w:r>
    </w:p>
    <w:p>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（5）</w:t>
      </w:r>
      <w:r>
        <w:rPr>
          <w:rFonts w:hint="eastAsia" w:ascii="宋体" w:hAnsi="宋体" w:cs="宋体"/>
          <w:b/>
          <w:bCs/>
          <w:szCs w:val="21"/>
          <w:highlight w:val="none"/>
        </w:rPr>
        <w:t>谈判保证金备注或摘要：谈判</w:t>
      </w:r>
      <w:r>
        <w:rPr>
          <w:rFonts w:hint="eastAsia" w:ascii="宋体" w:hAnsi="宋体" w:cs="宋体"/>
          <w:b/>
          <w:bCs/>
          <w:szCs w:val="21"/>
          <w:highlight w:val="none"/>
          <w:lang w:eastAsia="zh-CN"/>
        </w:rPr>
        <w:t>2024009</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*供应商必须自行将谈判保证金从对公账户按规定方式和时间缴至上述指定账户并到账，拒绝以其它方式缴纳，禁止第三方代缴保证金，否则将被视为无效响应，其响应文件将被拒绝。</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2.现场踏勘及标前答疑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（1）供应商自行踏勘现场。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（2）标前答疑：供应商对谈判文件如有疑问，请将疑问于</w:t>
      </w:r>
      <w:r>
        <w:rPr>
          <w:rFonts w:hint="eastAsia" w:ascii="宋体" w:hAnsi="宋体" w:cs="宋体"/>
          <w:b/>
          <w:bCs/>
          <w:szCs w:val="21"/>
          <w:highlight w:val="none"/>
        </w:rPr>
        <w:t>2024年</w:t>
      </w:r>
      <w:r>
        <w:rPr>
          <w:rFonts w:hint="eastAsia" w:ascii="宋体" w:hAnsi="宋体" w:cs="宋体"/>
          <w:b/>
          <w:bCs/>
          <w:szCs w:val="21"/>
          <w:highlight w:val="none"/>
          <w:lang w:val="en-US" w:eastAsia="zh-CN"/>
        </w:rPr>
        <w:t>8</w:t>
      </w:r>
      <w:r>
        <w:rPr>
          <w:rFonts w:hint="eastAsia" w:ascii="宋体" w:hAnsi="宋体" w:cs="宋体"/>
          <w:b/>
          <w:bCs/>
          <w:szCs w:val="21"/>
          <w:highlight w:val="none"/>
        </w:rPr>
        <w:t>月</w:t>
      </w:r>
      <w:r>
        <w:rPr>
          <w:rFonts w:hint="eastAsia" w:ascii="宋体" w:hAnsi="宋体" w:cs="宋体"/>
          <w:b/>
          <w:bCs/>
          <w:szCs w:val="21"/>
          <w:highlight w:val="none"/>
          <w:lang w:val="en-US" w:eastAsia="zh-CN"/>
        </w:rPr>
        <w:t>12</w:t>
      </w:r>
      <w:r>
        <w:rPr>
          <w:rFonts w:hint="eastAsia" w:ascii="宋体" w:hAnsi="宋体" w:cs="宋体"/>
          <w:b/>
          <w:bCs/>
          <w:szCs w:val="21"/>
          <w:highlight w:val="none"/>
        </w:rPr>
        <w:t>日17:30前</w:t>
      </w:r>
      <w:r>
        <w:rPr>
          <w:rFonts w:hint="eastAsia" w:ascii="宋体" w:hAnsi="宋体" w:cs="宋体"/>
          <w:szCs w:val="21"/>
          <w:highlight w:val="none"/>
        </w:rPr>
        <w:t>以书面原件形式递交至常州青枫招标有限公司。（注：提疑文件：① 必须加盖供应商公章；② 以代理机构收到时间为准。否则代理机构有权拒收其递交的文件）。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3.谈判文件售后一概不退。供应商递交的响应文件概不退还。一经领购不接受修改。</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4.本项目资格后审。</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5.公告发布媒体：常州青枫招标有限公司网站。</w:t>
      </w:r>
    </w:p>
    <w:p>
      <w:pPr>
        <w:spacing w:line="360" w:lineRule="auto"/>
        <w:rPr>
          <w:rFonts w:ascii="宋体" w:hAnsi="宋体" w:cs="宋体"/>
          <w:b/>
          <w:bCs/>
          <w:szCs w:val="21"/>
          <w:highlight w:val="none"/>
        </w:rPr>
      </w:pPr>
      <w:r>
        <w:rPr>
          <w:rFonts w:hint="eastAsia" w:ascii="宋体" w:hAnsi="宋体" w:cs="宋体"/>
          <w:b/>
          <w:bCs/>
          <w:szCs w:val="21"/>
          <w:highlight w:val="none"/>
        </w:rPr>
        <w:t>七、凡对本次采购提出询问，请按以下方式联系</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1.采购人信息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名称：常州市钟楼区住房和城乡建设局</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地址：江苏省常州市钟楼区星港路88号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联系方式：陆工 </w:t>
      </w:r>
      <w:r>
        <w:rPr>
          <w:rFonts w:hint="eastAsia" w:ascii="宋体" w:hAnsi="宋体" w:cs="宋体"/>
          <w:szCs w:val="22"/>
          <w:highlight w:val="none"/>
        </w:rPr>
        <w:t>0519-88891960</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2.代理机构信息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名称：常州青枫招标有限公司</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地址：常州市钟楼区运河路198号博济新博智汇谷5栋202室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联系方式：0519-88119558</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3.项目联系方式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项目联系人：张工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电话：0519-88119558</w:t>
      </w:r>
      <w:bookmarkStart w:id="1" w:name="_Toc216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邮箱：qf@czqfzb.com</w:t>
      </w:r>
    </w:p>
    <w:p>
      <w:pPr>
        <w:jc w:val="center"/>
        <w:rPr>
          <w:rFonts w:ascii="宋体" w:hAnsi="宋体" w:cs="宋体"/>
          <w:b/>
          <w:bCs/>
          <w:sz w:val="28"/>
          <w:szCs w:val="28"/>
          <w:highlight w:val="none"/>
        </w:rPr>
        <w:sectPr>
          <w:pgSz w:w="11906" w:h="16838"/>
          <w:pgMar w:top="1361" w:right="1474" w:bottom="1361" w:left="1758" w:header="850" w:footer="992" w:gutter="0"/>
          <w:pgNumType w:chapStyle="1"/>
          <w:cols w:space="720" w:num="1"/>
          <w:docGrid w:type="lines" w:linePitch="312" w:charSpace="0"/>
        </w:sectPr>
      </w:pPr>
    </w:p>
    <w:p>
      <w:pPr>
        <w:jc w:val="center"/>
        <w:rPr>
          <w:rFonts w:ascii="宋体" w:hAnsi="宋体" w:cs="宋体"/>
          <w:b/>
          <w:bCs/>
          <w:sz w:val="28"/>
          <w:szCs w:val="28"/>
          <w:highlight w:val="none"/>
        </w:rPr>
      </w:pPr>
      <w:r>
        <w:rPr>
          <w:rFonts w:hint="eastAsia" w:ascii="宋体" w:hAnsi="宋体" w:cs="宋体"/>
          <w:b/>
          <w:bCs/>
          <w:sz w:val="28"/>
          <w:szCs w:val="28"/>
          <w:highlight w:val="none"/>
        </w:rPr>
        <w:t>第一章    总     则</w:t>
      </w:r>
      <w:bookmarkEnd w:id="1"/>
    </w:p>
    <w:p>
      <w:pPr>
        <w:spacing w:line="440" w:lineRule="exact"/>
        <w:rPr>
          <w:rFonts w:ascii="宋体" w:hAnsi="宋体" w:cs="宋体"/>
          <w:b/>
          <w:bCs/>
          <w:szCs w:val="21"/>
          <w:highlight w:val="none"/>
        </w:rPr>
      </w:pPr>
      <w:r>
        <w:rPr>
          <w:rFonts w:hint="eastAsia" w:ascii="宋体" w:hAnsi="宋体" w:cs="宋体"/>
          <w:b/>
          <w:bCs/>
          <w:szCs w:val="21"/>
          <w:highlight w:val="none"/>
        </w:rPr>
        <w:t>1、招标方式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本次招标采取竞争性谈判方式，本谈判文件仅适用于竞争性谈判公告中所述项目。</w:t>
      </w:r>
    </w:p>
    <w:p>
      <w:pPr>
        <w:spacing w:line="440" w:lineRule="exact"/>
        <w:rPr>
          <w:rFonts w:ascii="宋体" w:hAnsi="宋体" w:cs="宋体"/>
          <w:szCs w:val="21"/>
          <w:highlight w:val="none"/>
        </w:rPr>
      </w:pPr>
      <w:r>
        <w:rPr>
          <w:rFonts w:hint="eastAsia" w:ascii="宋体" w:hAnsi="宋体" w:cs="宋体"/>
          <w:b/>
          <w:szCs w:val="21"/>
          <w:highlight w:val="none"/>
        </w:rPr>
        <w:t>2、合格的供应商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2.1满足竞争性谈判公告中对供应商资格要求的规定。</w:t>
      </w:r>
    </w:p>
    <w:p>
      <w:pPr>
        <w:spacing w:line="440" w:lineRule="exact"/>
        <w:ind w:firstLine="420" w:firstLineChars="200"/>
        <w:rPr>
          <w:rFonts w:ascii="宋体" w:hAnsi="宋体" w:cs="宋体"/>
          <w:b/>
          <w:szCs w:val="21"/>
          <w:highlight w:val="none"/>
        </w:rPr>
      </w:pPr>
      <w:r>
        <w:rPr>
          <w:rFonts w:hint="eastAsia" w:ascii="宋体" w:hAnsi="宋体" w:cs="宋体"/>
          <w:szCs w:val="21"/>
          <w:highlight w:val="none"/>
        </w:rPr>
        <w:t>2.2 满足本文件实质性条款的规定。</w:t>
      </w:r>
    </w:p>
    <w:p>
      <w:pPr>
        <w:spacing w:line="440" w:lineRule="exact"/>
        <w:rPr>
          <w:rFonts w:ascii="宋体" w:hAnsi="宋体" w:cs="宋体"/>
          <w:szCs w:val="21"/>
          <w:highlight w:val="none"/>
        </w:rPr>
      </w:pPr>
      <w:r>
        <w:rPr>
          <w:rFonts w:hint="eastAsia" w:ascii="宋体" w:hAnsi="宋体" w:cs="宋体"/>
          <w:b/>
          <w:szCs w:val="21"/>
          <w:highlight w:val="none"/>
        </w:rPr>
        <w:t>3、投标费用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供应商应承担其编制响应文件与递交响应文件所涉及的一切费用。不管投标结果如何，代理机构或采购人对上述费用不负任何责任。</w:t>
      </w:r>
    </w:p>
    <w:p>
      <w:pPr>
        <w:spacing w:line="440" w:lineRule="exact"/>
        <w:rPr>
          <w:rFonts w:ascii="宋体" w:hAnsi="宋体" w:cs="宋体"/>
          <w:b/>
          <w:szCs w:val="21"/>
          <w:highlight w:val="none"/>
        </w:rPr>
      </w:pPr>
      <w:r>
        <w:rPr>
          <w:rFonts w:hint="eastAsia" w:ascii="宋体" w:hAnsi="宋体" w:cs="宋体"/>
          <w:b/>
          <w:szCs w:val="21"/>
          <w:highlight w:val="none"/>
        </w:rPr>
        <w:t>4、谈判文件的组成</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4.1本文件及依法对本文件所作的更正内容均为谈判文件的组成部分。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4.2供应商应仔细检查谈判文件是否齐全，如有缺漏，立即与代理机构联系解决。</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4.4供应商一旦参加本项目采购活动，即被认为接受了本谈判文件的规定和约束。</w:t>
      </w:r>
    </w:p>
    <w:p>
      <w:pPr>
        <w:pStyle w:val="25"/>
        <w:spacing w:line="440" w:lineRule="exact"/>
        <w:rPr>
          <w:rFonts w:ascii="宋体" w:hAnsi="宋体" w:cs="宋体"/>
          <w:highlight w:val="none"/>
        </w:rPr>
      </w:pPr>
      <w:r>
        <w:rPr>
          <w:rFonts w:hint="eastAsia" w:ascii="宋体" w:hAnsi="宋体" w:cs="宋体"/>
          <w:b/>
          <w:bCs/>
          <w:szCs w:val="21"/>
          <w:highlight w:val="none"/>
        </w:rPr>
        <w:t>4.5 谈判文件有询问或者质疑（投诉）的，由供应商向代理机构书面提出，由代理机构负责接收和回复，采购人负责审核。</w:t>
      </w:r>
    </w:p>
    <w:p>
      <w:pPr>
        <w:spacing w:line="440" w:lineRule="exact"/>
        <w:rPr>
          <w:rFonts w:ascii="宋体" w:hAnsi="宋体" w:cs="宋体"/>
          <w:b/>
          <w:szCs w:val="21"/>
          <w:highlight w:val="none"/>
        </w:rPr>
      </w:pPr>
      <w:r>
        <w:rPr>
          <w:rFonts w:hint="eastAsia" w:ascii="宋体" w:hAnsi="宋体" w:cs="宋体"/>
          <w:b/>
          <w:szCs w:val="21"/>
          <w:highlight w:val="none"/>
        </w:rPr>
        <w:t>5、谈判文件的澄清、补充、更正</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5.1 代理机构向供应商提供的有关资料和数据，是代理机构现有的能使供应商利用的资料。代理机构对供应商由此而作出的推论、理解和结论概不负责。供应商</w:t>
      </w:r>
      <w:r>
        <w:rPr>
          <w:rFonts w:hint="eastAsia" w:ascii="宋体" w:hAnsi="宋体" w:cs="宋体"/>
          <w:bCs/>
          <w:szCs w:val="21"/>
          <w:highlight w:val="none"/>
        </w:rPr>
        <w:t>由于对谈判文件的任何推论和误解以及采购人对有关问题的口头解释所造成的后果，均由供应商自行负责。</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5.2 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pPr>
        <w:spacing w:line="440" w:lineRule="exact"/>
        <w:ind w:firstLine="420" w:firstLineChars="200"/>
        <w:rPr>
          <w:rFonts w:ascii="宋体" w:hAnsi="宋体" w:cs="宋体"/>
          <w:b/>
          <w:szCs w:val="21"/>
          <w:highlight w:val="none"/>
          <w:lang w:val="zh-CN"/>
        </w:rPr>
      </w:pPr>
      <w:r>
        <w:rPr>
          <w:rFonts w:hint="eastAsia" w:ascii="宋体" w:hAnsi="宋体" w:cs="宋体"/>
          <w:bCs/>
          <w:szCs w:val="21"/>
          <w:highlight w:val="none"/>
        </w:rPr>
        <w:t>5.3采购人及代理机构有权对已发出的谈判文件进行必要的澄清或更正。</w:t>
      </w:r>
    </w:p>
    <w:p>
      <w:pPr>
        <w:pStyle w:val="25"/>
        <w:spacing w:line="440" w:lineRule="exact"/>
        <w:rPr>
          <w:rFonts w:ascii="宋体" w:hAnsi="宋体" w:cs="宋体"/>
          <w:b/>
          <w:szCs w:val="21"/>
          <w:highlight w:val="none"/>
          <w:lang w:val="zh-CN"/>
        </w:rPr>
      </w:pPr>
      <w:r>
        <w:rPr>
          <w:rFonts w:hint="eastAsia" w:ascii="宋体" w:hAnsi="宋体" w:cs="宋体"/>
          <w:b/>
          <w:szCs w:val="21"/>
          <w:highlight w:val="none"/>
        </w:rPr>
        <w:t>5.4</w:t>
      </w:r>
      <w:r>
        <w:rPr>
          <w:rFonts w:hint="eastAsia" w:ascii="宋体" w:hAnsi="宋体" w:cs="宋体"/>
          <w:b/>
          <w:bCs/>
          <w:szCs w:val="21"/>
          <w:highlight w:val="none"/>
        </w:rPr>
        <w:t>所有有关谈判文件</w:t>
      </w:r>
      <w:r>
        <w:rPr>
          <w:rFonts w:hint="eastAsia" w:ascii="宋体" w:hAnsi="宋体" w:cs="宋体"/>
          <w:b/>
          <w:szCs w:val="21"/>
          <w:highlight w:val="none"/>
        </w:rPr>
        <w:t>的澄清、</w:t>
      </w:r>
      <w:r>
        <w:rPr>
          <w:rFonts w:hint="eastAsia" w:ascii="宋体" w:hAnsi="宋体" w:cs="宋体"/>
          <w:b/>
          <w:szCs w:val="21"/>
          <w:highlight w:val="none"/>
          <w:lang w:val="zh-CN"/>
        </w:rPr>
        <w:t>补充、更正</w:t>
      </w:r>
      <w:r>
        <w:rPr>
          <w:rFonts w:hint="eastAsia" w:ascii="宋体" w:hAnsi="宋体" w:cs="宋体"/>
          <w:b/>
          <w:szCs w:val="21"/>
          <w:highlight w:val="none"/>
        </w:rPr>
        <w:t>将在“常州青枫招标有限公司”网站以</w:t>
      </w:r>
      <w:r>
        <w:rPr>
          <w:rFonts w:hint="eastAsia" w:ascii="宋体" w:hAnsi="宋体" w:cs="宋体"/>
          <w:b/>
          <w:szCs w:val="21"/>
          <w:highlight w:val="none"/>
          <w:lang w:val="zh-CN"/>
        </w:rPr>
        <w:t>补充公告形式在网上发布</w:t>
      </w:r>
      <w:r>
        <w:rPr>
          <w:rFonts w:hint="eastAsia" w:ascii="宋体" w:hAnsi="宋体" w:cs="宋体"/>
          <w:b/>
          <w:szCs w:val="21"/>
          <w:highlight w:val="none"/>
        </w:rPr>
        <w:t>。补充文件（澄清、补充、更正公告等）将作为谈判文件的组成部分，并对供应商具有约束力，由供应商自行关注并获取。</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5.5采购人可视具体情况，延长投标截止时间和谈判时间，并将此变更以公告形式通知所有谈判文件收受人。</w:t>
      </w:r>
    </w:p>
    <w:p>
      <w:pPr>
        <w:spacing w:line="440" w:lineRule="exact"/>
        <w:rPr>
          <w:rFonts w:ascii="宋体" w:hAnsi="宋体" w:cs="宋体"/>
          <w:szCs w:val="21"/>
          <w:highlight w:val="none"/>
        </w:rPr>
      </w:pPr>
      <w:r>
        <w:rPr>
          <w:rFonts w:hint="eastAsia" w:ascii="宋体" w:hAnsi="宋体" w:cs="宋体"/>
          <w:b/>
          <w:szCs w:val="21"/>
          <w:highlight w:val="none"/>
        </w:rPr>
        <w:t>6、供应商的义务</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 供应商应当认真阅读谈判文件，完全明了招标项目之名称、用途、数量、质量和交货日期，完全明了供应商所应具备的资格条件。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6.2 供应商应当按照谈判文件的要求编制响应文件。响应文件应对谈判文件提出的实质性要求和条件作出完全响应。</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6.3 供应商应在投标截止时间前，将密封的响应文件送达投标地点。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6.4 供应商不得相互串通谈判报价，不得排挤其他供应商的公平竞争，损害采购人或者其他供应商合法权益。供应商不得与采购人串通投标，损害国家利益，公众利益或者他人的合法权益。</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6.5 供应商在投标截止时间前，对所提交的响应文件可以补充、修改或者撤回，并书面通知采购人</w:t>
      </w:r>
      <w:r>
        <w:rPr>
          <w:rFonts w:hint="eastAsia" w:ascii="宋体" w:hAnsi="宋体" w:cs="宋体"/>
          <w:bCs/>
          <w:szCs w:val="21"/>
          <w:highlight w:val="none"/>
        </w:rPr>
        <w:t>及代理机构</w:t>
      </w:r>
      <w:r>
        <w:rPr>
          <w:rFonts w:hint="eastAsia" w:ascii="宋体" w:hAnsi="宋体" w:cs="宋体"/>
          <w:szCs w:val="21"/>
          <w:highlight w:val="none"/>
        </w:rPr>
        <w:t>。补充、修改的内容为响应文件的组成部分。</w:t>
      </w:r>
    </w:p>
    <w:p>
      <w:pPr>
        <w:spacing w:line="440" w:lineRule="exact"/>
        <w:rPr>
          <w:rFonts w:ascii="宋体" w:hAnsi="宋体" w:cs="宋体"/>
          <w:szCs w:val="21"/>
          <w:highlight w:val="none"/>
        </w:rPr>
      </w:pPr>
      <w:r>
        <w:rPr>
          <w:rFonts w:hint="eastAsia" w:ascii="宋体" w:hAnsi="宋体" w:cs="宋体"/>
          <w:b/>
          <w:szCs w:val="21"/>
          <w:highlight w:val="none"/>
        </w:rPr>
        <w:t>7、谈判报价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7.1本工程谈判报价采用</w:t>
      </w:r>
      <w:r>
        <w:rPr>
          <w:rFonts w:hint="eastAsia" w:ascii="宋体" w:hAnsi="宋体" w:cs="宋体"/>
          <w:b/>
          <w:bCs/>
          <w:szCs w:val="21"/>
          <w:highlight w:val="none"/>
          <w:u w:val="single"/>
        </w:rPr>
        <w:t>工程量清单报价</w:t>
      </w:r>
      <w:r>
        <w:rPr>
          <w:rFonts w:hint="eastAsia" w:ascii="宋体" w:hAnsi="宋体" w:cs="宋体"/>
          <w:szCs w:val="21"/>
          <w:highlight w:val="none"/>
        </w:rPr>
        <w:t>。供应商应按采购人提供的工程量清单编制谈判报价文件。</w:t>
      </w:r>
    </w:p>
    <w:p>
      <w:pPr>
        <w:spacing w:line="440" w:lineRule="exact"/>
        <w:ind w:firstLine="422" w:firstLineChars="200"/>
        <w:rPr>
          <w:rFonts w:ascii="宋体" w:hAnsi="宋体" w:cs="宋体"/>
          <w:szCs w:val="21"/>
          <w:highlight w:val="none"/>
        </w:rPr>
      </w:pPr>
      <w:r>
        <w:rPr>
          <w:rFonts w:hint="eastAsia" w:ascii="宋体" w:hAnsi="宋体" w:cs="宋体"/>
          <w:b/>
          <w:szCs w:val="21"/>
          <w:highlight w:val="none"/>
        </w:rPr>
        <w:t>*须书面打印装订的表格：现行工程量清单计价规范格式表格</w:t>
      </w:r>
      <w:r>
        <w:rPr>
          <w:rFonts w:hint="eastAsia" w:ascii="宋体" w:hAnsi="宋体" w:cs="宋体"/>
          <w:szCs w:val="21"/>
          <w:highlight w:val="none"/>
        </w:rPr>
        <w:t>。</w:t>
      </w:r>
    </w:p>
    <w:p>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7.1.1 </w:t>
      </w:r>
      <w:r>
        <w:rPr>
          <w:rFonts w:hint="eastAsia" w:ascii="宋体" w:hAnsi="宋体" w:cs="宋体"/>
          <w:b/>
          <w:szCs w:val="21"/>
          <w:highlight w:val="none"/>
        </w:rPr>
        <w:t>本工程采用固定综合单价，</w:t>
      </w:r>
      <w:r>
        <w:rPr>
          <w:rFonts w:hint="eastAsia" w:ascii="宋体" w:hAnsi="宋体" w:cs="宋体"/>
          <w:szCs w:val="21"/>
          <w:highlight w:val="none"/>
        </w:rPr>
        <w:t>谈判报价为供应商在响应文件中提出的各项支付金额的总和。</w:t>
      </w:r>
    </w:p>
    <w:p>
      <w:pPr>
        <w:spacing w:line="440" w:lineRule="exact"/>
        <w:ind w:firstLine="420"/>
        <w:jc w:val="left"/>
        <w:rPr>
          <w:rFonts w:ascii="宋体" w:hAnsi="宋体" w:cs="宋体"/>
          <w:szCs w:val="21"/>
          <w:highlight w:val="none"/>
        </w:rPr>
      </w:pPr>
      <w:r>
        <w:rPr>
          <w:rFonts w:hint="eastAsia" w:ascii="宋体" w:hAnsi="宋体" w:cs="宋体"/>
          <w:szCs w:val="21"/>
          <w:highlight w:val="none"/>
        </w:rPr>
        <w:t>7.1.2 供应商所填报的各项基价中的各种材料单价在合同实施期间不因市场价格变化因素而变动，供应商在报综合单价时应考虑各种风险因素和自己的承受能力。</w:t>
      </w:r>
    </w:p>
    <w:p>
      <w:pPr>
        <w:pStyle w:val="14"/>
        <w:spacing w:line="440" w:lineRule="exact"/>
        <w:ind w:firstLine="420"/>
        <w:jc w:val="left"/>
        <w:rPr>
          <w:rFonts w:cs="宋体"/>
          <w:sz w:val="21"/>
          <w:szCs w:val="21"/>
          <w:highlight w:val="none"/>
        </w:rPr>
      </w:pPr>
      <w:r>
        <w:rPr>
          <w:rFonts w:hint="eastAsia" w:cs="宋体"/>
          <w:sz w:val="21"/>
          <w:szCs w:val="21"/>
          <w:highlight w:val="none"/>
        </w:rPr>
        <w:t>7.1.3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参照常州市工程造价计算程序确定结算单价并按投标时的让利幅度进行优惠计算，其中主要材料价格依采购人现场签证报请采购人造价审计后确定。</w:t>
      </w:r>
    </w:p>
    <w:p>
      <w:pPr>
        <w:spacing w:line="440" w:lineRule="exact"/>
        <w:ind w:firstLine="480"/>
        <w:jc w:val="left"/>
        <w:rPr>
          <w:rFonts w:ascii="宋体" w:hAnsi="宋体" w:cs="宋体"/>
          <w:szCs w:val="21"/>
          <w:highlight w:val="none"/>
        </w:rPr>
      </w:pPr>
      <w:r>
        <w:rPr>
          <w:rFonts w:hint="eastAsia" w:ascii="宋体" w:hAnsi="宋体" w:cs="宋体"/>
          <w:szCs w:val="21"/>
          <w:highlight w:val="none"/>
        </w:rPr>
        <w:t>7.1.4采购人反对盲目压低报价。</w:t>
      </w:r>
    </w:p>
    <w:p>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以工程量清单作为报价依据。各供应商根据预算工程量及现场实际情况，对工程量清单中子目内容进行复核，如有疑问，按照常州市建筑工程造价计算程序确定分项综合预算单价，并根据企业水平研究最终确定谈判总价。</w:t>
      </w:r>
    </w:p>
    <w:p>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b/>
          <w:szCs w:val="21"/>
          <w:highlight w:val="none"/>
        </w:rPr>
        <w:t>*已标价工程量清单包括（根据最新工程量清单计价规范提供）</w:t>
      </w:r>
      <w:r>
        <w:rPr>
          <w:rFonts w:hint="eastAsia" w:ascii="宋体" w:hAnsi="宋体" w:cs="宋体"/>
          <w:szCs w:val="21"/>
          <w:highlight w:val="none"/>
        </w:rPr>
        <w:t>：单位工程费汇总表、分部分项工程和单价措施项目清单计价表、综合单价分析表</w:t>
      </w:r>
      <w:r>
        <w:rPr>
          <w:rFonts w:hint="eastAsia" w:ascii="宋体" w:hAnsi="宋体" w:cs="宋体"/>
          <w:b/>
          <w:szCs w:val="21"/>
          <w:highlight w:val="none"/>
        </w:rPr>
        <w:t>（综合单价分析表响应文件中可不提供，由成交供应商在签订合同前按采购人要求提供三份）</w:t>
      </w:r>
      <w:r>
        <w:rPr>
          <w:rFonts w:hint="eastAsia" w:ascii="宋体" w:hAnsi="宋体" w:cs="宋体"/>
          <w:szCs w:val="21"/>
          <w:highlight w:val="none"/>
        </w:rPr>
        <w:t>、总价措施项目清单与计价表、其他项目清单与计价汇总表、暂列金额明细表、材料暂估价格表、专业工程暂估价表、规费、税金项目清单计价表、乙供主要材料及设备价格表等。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7.1.5 谈判报价的编制要求：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谈判报价应该是按谈判文件规定的招标范围内工程量清单所列项目的全部费用总和，是谈判文件、工程量清单及其附属资料所要求范围内的全部工作内容的价格的体现，其应包括按设计要求实施和完成本工程所需人工费、材料费、机械费、企业管理费、利润、措施项目费、规费、设计费及税金等，同时应考虑承担合同所示责任、义务和一般风险，以及可能因工程量的调整及实施项目的变更而引起的价格调整风险。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供应商应根据谈判文件（含工程量清单）的有关要求，施工现场实际情况及拟定的施工方案或施工组织设计，依据企业定额和市场价格信息或参照建设行政主管部门发布的计价定额编制谈判报价，供应商对谈判报价的任何优惠让利均应体现在各分部分项工程、措施项目和其他项目的综合单价中，不可竞争费不得优惠让利。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（3）其他项目清单中的暂列金额，虽在开标时计入供应商的报价中，但不应视为供应商所有。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4）工程量清单中的工程数量是按《建设工程工程量清单计价规范》（GB50500-2013）工程量计算规则进行计算的，施工中所用的材料、成品、半成品在制作、运输、安装中等发生的一切损耗应包括在报价内。工程量清单标明的工程量是供应商报价的共同基础，竣工结算的工程量按发包方和承办方双方在合同约定的应予计量且实际完成的工程量确定。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（5）不可竞争费的计取按常建【2014】279号文规定和清单、纪要的规定执行，具体为现场安全文明施工措施费、规费、税金、暂列金额、暂估价（费率见工程量清单）不得更改。</w:t>
      </w:r>
      <w:r>
        <w:rPr>
          <w:rFonts w:hint="eastAsia" w:ascii="宋体" w:hAnsi="宋体" w:cs="宋体"/>
          <w:b/>
          <w:szCs w:val="21"/>
          <w:highlight w:val="none"/>
        </w:rPr>
        <w:t>“总价措施项目清单与计价表”中除安全文明施工费以外的其他费率均为可竞争费率，由供应商根据各自情况自报并计入谈判总价。结算时，除工程变更引起施工方案改变外，成交供应商不得以招标工程措施项目清单缺项为由要求新增措施项目。</w:t>
      </w:r>
      <w:r>
        <w:rPr>
          <w:rFonts w:hint="eastAsia" w:ascii="宋体" w:hAnsi="宋体" w:cs="宋体"/>
          <w:szCs w:val="21"/>
          <w:highlight w:val="none"/>
        </w:rPr>
        <w:t xml:space="preserve">特别强调：为进一步提升施工现场管理，要求施工过程中的围墙 （围挡）、工地施工过程管理、渣土装载运输等，应认真落实执行相关配套文件精神，有关费用成交供应商须在项目措施费中落实。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（6）供应商应按采购人提供的工程量清单填报价格，填写的项目编码、项目名称、项目特征、计量单位、工程量必须与采购人供的一致。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7）分部分项工程费应依据最新计价规范综合单价组成内容，按分部分项工程量清单项目的特征述确定综合单价。综合单价中应考虑响应文件中要求供应商承担的风险费用。暂估单价的材料，按暂估的单价计入综合单价。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8）除非采购人对谈判文件予以修改，否则供应商应按采购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7.1.6 以暂估项目形式包括在总承包范围内的工程、货物、服务属于依法必须进行招标的项目范围且达到国家规定规模标准的，应当依法进行招标。工程量清单中材料暂估价和专业工程暂估价，由成交单位和采购人共同组织招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7.1.7 </w:t>
      </w:r>
      <w:r>
        <w:rPr>
          <w:rFonts w:hint="eastAsia" w:ascii="宋体" w:hAnsi="宋体" w:cs="宋体"/>
          <w:b/>
          <w:szCs w:val="21"/>
          <w:highlight w:val="none"/>
        </w:rPr>
        <w:t>本工程工程量清单及编制说明中提供材料（设备）备选品牌（或规格、型号、产地）的，应在备选品牌（或规格、型号、产地）范围内自行选择一款并根据市场行情及自身实际情况进行组价、报价。</w:t>
      </w:r>
      <w:r>
        <w:rPr>
          <w:rFonts w:hint="eastAsia" w:ascii="宋体" w:hAnsi="宋体" w:cs="宋体"/>
          <w:szCs w:val="21"/>
          <w:highlight w:val="none"/>
        </w:rPr>
        <w:t>代理机构所提供的工程量清单，应认为已包括完成本工程的所有项目。凡设计图纸已指明的工程或完成图纸所示的附属工程、相关工程、衔接与后续工程所需的费用，供应商应计入相关项目的单价中。供应商未填单价或合价的工程项目在实施后，采购人将不予以支付，并视为该项费用已包括在其他有价款的单价或合价内，供应商必须按监理工程师的指令完成工程量清单中未填入单价或总额价的工程细目，但不能得到支付与结算。</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本工程采用</w:t>
      </w:r>
      <w:r>
        <w:rPr>
          <w:rFonts w:hint="eastAsia" w:ascii="宋体" w:hAnsi="宋体" w:cs="宋体"/>
          <w:b/>
          <w:szCs w:val="21"/>
          <w:highlight w:val="none"/>
          <w:u w:val="single"/>
        </w:rPr>
        <w:t>固定综合单价承包</w:t>
      </w:r>
      <w:r>
        <w:rPr>
          <w:rFonts w:hint="eastAsia" w:ascii="宋体" w:hAnsi="宋体" w:cs="宋体"/>
          <w:b/>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本工程的最高限价为</w:t>
      </w:r>
      <w:r>
        <w:rPr>
          <w:rFonts w:hint="eastAsia" w:ascii="宋体" w:hAnsi="宋体" w:cs="宋体"/>
          <w:b/>
          <w:bCs/>
          <w:szCs w:val="21"/>
          <w:highlight w:val="none"/>
          <w:u w:val="single"/>
        </w:rPr>
        <w:t xml:space="preserve"> 人民币贰拾肆万伍仟零壹拾玖元叁角肆分（¥245,019.34）</w:t>
      </w:r>
      <w:r>
        <w:rPr>
          <w:rFonts w:hint="eastAsia" w:ascii="宋体" w:hAnsi="宋体" w:cs="宋体"/>
          <w:szCs w:val="21"/>
          <w:highlight w:val="none"/>
        </w:rPr>
        <w:t>，</w:t>
      </w:r>
      <w:r>
        <w:rPr>
          <w:rFonts w:hint="eastAsia" w:ascii="宋体" w:hAnsi="宋体" w:cs="宋体"/>
          <w:b/>
          <w:szCs w:val="21"/>
          <w:highlight w:val="none"/>
        </w:rPr>
        <w:t>供应商的谈判总价不得高于最高限价、谈判报价中各项清单单价不得高于控制价清单单价，</w:t>
      </w:r>
      <w:r>
        <w:rPr>
          <w:rFonts w:hint="eastAsia" w:ascii="宋体" w:hAnsi="宋体" w:cs="宋体"/>
          <w:szCs w:val="21"/>
          <w:highlight w:val="none"/>
        </w:rPr>
        <w:t>否则作为无效投标处理。</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本项目谈判规则：至少二次报价，响应文件的谈判报价作为首次报价，在资格性及符合性评审结束后，所有符合继续参加谈判条件的供应商在规定时间内提交最终报价，最终报价作为评分依据。</w:t>
      </w:r>
    </w:p>
    <w:p>
      <w:pPr>
        <w:spacing w:line="440" w:lineRule="exact"/>
        <w:ind w:firstLine="422" w:firstLineChars="200"/>
        <w:rPr>
          <w:rFonts w:ascii="宋体" w:hAnsi="宋体" w:cs="宋体"/>
          <w:szCs w:val="21"/>
          <w:highlight w:val="none"/>
        </w:rPr>
      </w:pPr>
      <w:r>
        <w:rPr>
          <w:rFonts w:hint="eastAsia" w:ascii="宋体" w:hAnsi="宋体" w:cs="宋体"/>
          <w:b/>
          <w:szCs w:val="21"/>
          <w:highlight w:val="none"/>
        </w:rPr>
        <w:t>提交的最终报价不得高于供应商的首次报价,否则做无效响应处理。</w:t>
      </w:r>
    </w:p>
    <w:p>
      <w:pPr>
        <w:spacing w:line="440" w:lineRule="exact"/>
        <w:rPr>
          <w:rFonts w:ascii="宋体" w:hAnsi="宋体" w:cs="宋体"/>
          <w:szCs w:val="21"/>
          <w:highlight w:val="none"/>
        </w:rPr>
      </w:pPr>
      <w:r>
        <w:rPr>
          <w:rFonts w:hint="eastAsia" w:ascii="宋体" w:hAnsi="宋体" w:cs="宋体"/>
          <w:b/>
          <w:szCs w:val="21"/>
          <w:highlight w:val="none"/>
        </w:rPr>
        <w:t>8、响应文件的组成</w:t>
      </w:r>
    </w:p>
    <w:p>
      <w:pPr>
        <w:spacing w:line="440" w:lineRule="exact"/>
        <w:ind w:firstLine="420" w:firstLineChars="200"/>
        <w:rPr>
          <w:rFonts w:ascii="宋体" w:hAnsi="宋体" w:cs="宋体"/>
          <w:bCs/>
          <w:szCs w:val="21"/>
          <w:highlight w:val="none"/>
        </w:rPr>
      </w:pPr>
      <w:r>
        <w:rPr>
          <w:rFonts w:hint="eastAsia" w:ascii="宋体" w:hAnsi="宋体" w:cs="宋体"/>
          <w:szCs w:val="21"/>
          <w:highlight w:val="none"/>
        </w:rPr>
        <w:t>详见第二章《响应文件的组成》</w:t>
      </w:r>
    </w:p>
    <w:p>
      <w:pPr>
        <w:spacing w:line="440" w:lineRule="exact"/>
        <w:rPr>
          <w:rFonts w:ascii="宋体" w:hAnsi="宋体" w:cs="宋体"/>
          <w:szCs w:val="21"/>
          <w:highlight w:val="none"/>
        </w:rPr>
      </w:pPr>
      <w:r>
        <w:rPr>
          <w:rFonts w:hint="eastAsia" w:ascii="宋体" w:hAnsi="宋体" w:cs="宋体"/>
          <w:b/>
          <w:szCs w:val="21"/>
          <w:highlight w:val="none"/>
        </w:rPr>
        <w:t>9、谈判保证金</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9.1谈判保证金是响应文件的一个组成部分，供应商须按规定从对公账户缴纳。未按要求缴纳保证金的供应商，将视为无效响应。</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9.2未中标的供应商的保证金在本项目成交公示次日起五个工作日后无息退回。</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9.3成交供应商的谈判保证金，在其缴纳履约保证金并签订合同，合同经代理机构见证之日起五个工作日内无息退还。</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9.4供应商有下列情况之一的将被没收其谈判保证金：</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9.4.1供应商在投标有效期内撤回或修改其响应文件；</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9.4.2供应商的弄虚作假等不诚信、违法行为导致成交被依法依规确认无效的（包括成交公示期间）；</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9.4.3供应商成交后，无正当理由拒签合同协议书或未按谈判文件规定提交履约担保；</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9.4.4已交纳保证金的供应商无正当理由且响应文件递交截止时间前1日未以书面形式向代理机构递交说明，未准时参与投标的；</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9.4.5法律法规认定的其他情形。</w:t>
      </w:r>
    </w:p>
    <w:p>
      <w:pPr>
        <w:spacing w:line="440" w:lineRule="exact"/>
        <w:rPr>
          <w:rFonts w:ascii="宋体" w:hAnsi="宋体" w:cs="宋体"/>
          <w:szCs w:val="21"/>
          <w:highlight w:val="none"/>
        </w:rPr>
      </w:pPr>
      <w:r>
        <w:rPr>
          <w:rFonts w:hint="eastAsia" w:ascii="宋体" w:hAnsi="宋体" w:cs="宋体"/>
          <w:b/>
          <w:szCs w:val="21"/>
          <w:highlight w:val="none"/>
        </w:rPr>
        <w:t>10、响应文件的制作要求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10.l供应商应提交</w:t>
      </w:r>
      <w:r>
        <w:rPr>
          <w:rFonts w:hint="eastAsia" w:ascii="宋体" w:hAnsi="宋体" w:cs="宋体"/>
          <w:b/>
          <w:bCs/>
          <w:szCs w:val="21"/>
          <w:highlight w:val="none"/>
        </w:rPr>
        <w:t>装订</w:t>
      </w:r>
      <w:r>
        <w:rPr>
          <w:rFonts w:hint="eastAsia" w:ascii="宋体" w:hAnsi="宋体" w:cs="宋体"/>
          <w:szCs w:val="21"/>
          <w:highlight w:val="none"/>
        </w:rPr>
        <w:t>的响应文件</w:t>
      </w:r>
      <w:r>
        <w:rPr>
          <w:rFonts w:hint="eastAsia" w:ascii="宋体" w:hAnsi="宋体" w:cs="宋体"/>
          <w:b/>
          <w:bCs/>
          <w:color w:val="FF0000"/>
          <w:szCs w:val="21"/>
          <w:highlight w:val="none"/>
        </w:rPr>
        <w:t>壹份“正本”、贰份“副本”、壹份“电子文档”（载体采用“U盘”，内容包含全套正本响应文件）</w:t>
      </w:r>
      <w:r>
        <w:rPr>
          <w:rFonts w:hint="eastAsia" w:ascii="宋体" w:hAnsi="宋体" w:cs="宋体"/>
          <w:b/>
          <w:bCs/>
          <w:szCs w:val="21"/>
          <w:highlight w:val="none"/>
        </w:rPr>
        <w:t>。</w:t>
      </w:r>
      <w:r>
        <w:rPr>
          <w:rFonts w:hint="eastAsia" w:ascii="宋体" w:hAnsi="宋体" w:cs="宋体"/>
          <w:szCs w:val="21"/>
          <w:highlight w:val="none"/>
        </w:rPr>
        <w:t>响应文件正本和副本如有不一致之处，以正本为准。</w:t>
      </w:r>
    </w:p>
    <w:p>
      <w:pPr>
        <w:spacing w:line="440" w:lineRule="exact"/>
        <w:ind w:firstLine="420" w:firstLineChars="200"/>
        <w:rPr>
          <w:rFonts w:ascii="宋体" w:hAnsi="宋体" w:cs="宋体"/>
          <w:b/>
          <w:bCs/>
          <w:szCs w:val="21"/>
          <w:highlight w:val="none"/>
        </w:rPr>
      </w:pPr>
      <w:r>
        <w:rPr>
          <w:rFonts w:hint="eastAsia" w:ascii="宋体" w:hAnsi="宋体" w:cs="宋体"/>
          <w:szCs w:val="21"/>
          <w:highlight w:val="none"/>
        </w:rPr>
        <w:t>10.2 响应文件正本、副本必须全部是打印件。供应商应按照要求，在规定的地方加盖单位公章以及供应商法定代表人（或其代理人）签字。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10.3 响应文件应无涂改和行间插字，供应商造成的必须修改的错误，修改处须加盖供应商公章，并由供应商法定代表人或代理人签字或盖章，否则修改无效。</w:t>
      </w:r>
    </w:p>
    <w:p>
      <w:pPr>
        <w:spacing w:line="440" w:lineRule="exact"/>
        <w:ind w:firstLine="422" w:firstLineChars="200"/>
        <w:rPr>
          <w:rFonts w:ascii="宋体" w:hAnsi="宋体" w:cs="宋体"/>
          <w:szCs w:val="21"/>
          <w:highlight w:val="none"/>
        </w:rPr>
      </w:pPr>
      <w:r>
        <w:rPr>
          <w:rFonts w:hint="eastAsia" w:ascii="宋体" w:hAnsi="宋体" w:cs="宋体"/>
          <w:b/>
          <w:bCs/>
          <w:szCs w:val="21"/>
          <w:highlight w:val="none"/>
        </w:rPr>
        <w:t>10.4 本文件所表述的公章是指法定名称章，不包括合同专用章、业务专用章、部门专用章、财务专用章等印章。盖章是指加盖鲜章。</w:t>
      </w:r>
    </w:p>
    <w:p>
      <w:pPr>
        <w:spacing w:line="440" w:lineRule="exact"/>
        <w:rPr>
          <w:rFonts w:ascii="宋体" w:hAnsi="宋体" w:cs="宋体"/>
          <w:b/>
          <w:szCs w:val="21"/>
          <w:highlight w:val="none"/>
        </w:rPr>
      </w:pPr>
      <w:r>
        <w:rPr>
          <w:rFonts w:hint="eastAsia" w:ascii="宋体" w:hAnsi="宋体" w:cs="宋体"/>
          <w:b/>
          <w:szCs w:val="21"/>
          <w:highlight w:val="none"/>
        </w:rPr>
        <w:t>11、响应文件的有效期</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投标有效期为规定的开标之日后</w:t>
      </w:r>
      <w:r>
        <w:rPr>
          <w:rFonts w:hint="eastAsia" w:ascii="宋体" w:hAnsi="宋体" w:cs="宋体"/>
          <w:b/>
          <w:bCs/>
          <w:szCs w:val="21"/>
          <w:highlight w:val="none"/>
          <w:u w:val="single"/>
        </w:rPr>
        <w:t>六十（60）天</w:t>
      </w:r>
      <w:r>
        <w:rPr>
          <w:rFonts w:hint="eastAsia" w:ascii="宋体" w:hAnsi="宋体" w:cs="宋体"/>
          <w:szCs w:val="21"/>
          <w:highlight w:val="none"/>
        </w:rPr>
        <w:t>。响应文件应保持有效。有效期短于这个规定期限的响应将被视为无效响应而予以拒绝。</w:t>
      </w:r>
    </w:p>
    <w:p>
      <w:pPr>
        <w:spacing w:line="440" w:lineRule="exact"/>
        <w:rPr>
          <w:rFonts w:ascii="宋体" w:hAnsi="宋体" w:cs="宋体"/>
          <w:szCs w:val="21"/>
          <w:highlight w:val="none"/>
        </w:rPr>
      </w:pPr>
      <w:r>
        <w:rPr>
          <w:rFonts w:hint="eastAsia" w:ascii="宋体" w:hAnsi="宋体" w:cs="宋体"/>
          <w:b/>
          <w:szCs w:val="21"/>
          <w:highlight w:val="none"/>
        </w:rPr>
        <w:t>12、响应文件的密封、装订与标志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12.1供应商应将响应文件</w:t>
      </w:r>
      <w:r>
        <w:rPr>
          <w:rFonts w:hint="eastAsia" w:ascii="宋体" w:hAnsi="宋体" w:cs="宋体"/>
          <w:b/>
          <w:bCs/>
          <w:szCs w:val="21"/>
          <w:highlight w:val="none"/>
        </w:rPr>
        <w:t>正副本分开独立密封，</w:t>
      </w:r>
      <w:r>
        <w:rPr>
          <w:rFonts w:hint="eastAsia" w:ascii="宋体" w:hAnsi="宋体" w:cs="宋体"/>
          <w:szCs w:val="21"/>
          <w:highlight w:val="none"/>
        </w:rPr>
        <w:t>所有封袋上都应当加盖供应商公章。</w:t>
      </w:r>
    </w:p>
    <w:p>
      <w:pPr>
        <w:spacing w:line="440" w:lineRule="exact"/>
        <w:ind w:firstLine="420" w:firstLineChars="200"/>
        <w:rPr>
          <w:rFonts w:ascii="宋体" w:hAnsi="宋体" w:cs="宋体"/>
          <w:b/>
          <w:bCs/>
          <w:szCs w:val="21"/>
          <w:highlight w:val="none"/>
        </w:rPr>
      </w:pPr>
      <w:r>
        <w:rPr>
          <w:rFonts w:hint="eastAsia" w:ascii="宋体" w:hAnsi="宋体" w:cs="宋体"/>
          <w:szCs w:val="21"/>
          <w:highlight w:val="none"/>
        </w:rPr>
        <w:t xml:space="preserve">12.2 </w:t>
      </w:r>
      <w:r>
        <w:rPr>
          <w:rFonts w:hint="eastAsia" w:ascii="宋体" w:hAnsi="宋体" w:cs="宋体"/>
          <w:b/>
          <w:bCs/>
          <w:szCs w:val="21"/>
          <w:highlight w:val="none"/>
        </w:rPr>
        <w:t>所有封袋上都必须正确写明：正副本情况、项目编号、项目名称、供应商名称、供应商法定代表人或其授权委托人名称字样。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12.3供应商未按上述规定提交响应文件，其响应文件将被拒绝。</w:t>
      </w:r>
    </w:p>
    <w:p>
      <w:pPr>
        <w:spacing w:line="440" w:lineRule="exact"/>
        <w:rPr>
          <w:rFonts w:ascii="宋体" w:hAnsi="宋体" w:cs="宋体"/>
          <w:szCs w:val="21"/>
          <w:highlight w:val="none"/>
        </w:rPr>
      </w:pPr>
      <w:r>
        <w:rPr>
          <w:rFonts w:hint="eastAsia" w:ascii="宋体" w:hAnsi="宋体" w:cs="宋体"/>
          <w:b/>
          <w:szCs w:val="21"/>
          <w:highlight w:val="none"/>
        </w:rPr>
        <w:t>13、响应文件提交截止时间及地点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13.1 供应商应在规定的截止日期和时间之前将响应文件提交至竞争性谈判公告中注明的地点，凡逾期送达的响应文件将作为无效响应文件处理。</w:t>
      </w:r>
    </w:p>
    <w:p>
      <w:pPr>
        <w:pStyle w:val="25"/>
        <w:spacing w:line="440" w:lineRule="exact"/>
        <w:ind w:firstLine="422" w:firstLineChars="200"/>
        <w:rPr>
          <w:rFonts w:ascii="宋体" w:hAnsi="宋体" w:cs="宋体"/>
          <w:highlight w:val="none"/>
        </w:rPr>
      </w:pPr>
      <w:r>
        <w:rPr>
          <w:rFonts w:hint="eastAsia" w:ascii="宋体" w:hAnsi="宋体" w:cs="宋体"/>
          <w:b/>
          <w:bCs/>
          <w:szCs w:val="21"/>
          <w:highlight w:val="none"/>
        </w:rPr>
        <w:t>13.2 供应商在递交响应文件时须提供有效的法定代表人或代理人身份证原件，未提供的，代理机构不接收其响应文件。</w:t>
      </w:r>
    </w:p>
    <w:p>
      <w:pPr>
        <w:spacing w:line="440" w:lineRule="exact"/>
        <w:rPr>
          <w:rFonts w:ascii="宋体" w:hAnsi="宋体" w:cs="宋体"/>
          <w:szCs w:val="21"/>
          <w:highlight w:val="none"/>
        </w:rPr>
      </w:pPr>
      <w:r>
        <w:rPr>
          <w:rFonts w:hint="eastAsia" w:ascii="宋体" w:hAnsi="宋体" w:cs="宋体"/>
          <w:b/>
          <w:szCs w:val="21"/>
          <w:highlight w:val="none"/>
        </w:rPr>
        <w:t>14、响应文件的修改和撤回</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14.1 供应商在递交响应文件后，可以修改或撤回其响应文件，但这种修改和撤回，必须在规定的投标截止时间前，以书面形式通知代理机构，修改或撤回其响应文件。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14.2 供应商的修改或撤回文件应按规定进行编制、密封、标记和发送，并应在封套上加注“修改”或“撤回”字样。上述补充或修改若涉及谈判报价，必须注明“最后唯一报价”字样，否则将视为有选择的报价。修改文件必须在投标截止时间前送达代理机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14.3 在投标截止时间之后，供应商不得对其响应文件作任何修改。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14.4 在投标截止时间至谈判文件中规定的投标有效期满之间的这段时间内，供应商不得撤销其响应文件，否则其谈判保证金将不予退还。</w:t>
      </w:r>
    </w:p>
    <w:p>
      <w:pPr>
        <w:spacing w:line="440" w:lineRule="exact"/>
        <w:rPr>
          <w:rFonts w:ascii="宋体" w:hAnsi="宋体" w:cs="宋体"/>
          <w:b/>
          <w:szCs w:val="21"/>
          <w:highlight w:val="none"/>
        </w:rPr>
      </w:pPr>
      <w:r>
        <w:rPr>
          <w:rFonts w:hint="eastAsia" w:ascii="宋体" w:hAnsi="宋体" w:cs="宋体"/>
          <w:b/>
          <w:szCs w:val="21"/>
          <w:highlight w:val="none"/>
        </w:rPr>
        <w:t>15、谈判程序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15.1代理机构按竞争性谈判公告规定的时间、地点主持谈判活动。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15.2供应商参加谈判会的应由法定代表人或委托代理人携带</w:t>
      </w:r>
      <w:r>
        <w:rPr>
          <w:rFonts w:hint="eastAsia" w:ascii="宋体" w:hAnsi="宋体" w:cs="宋体"/>
          <w:b/>
          <w:bCs/>
          <w:szCs w:val="21"/>
          <w:highlight w:val="none"/>
        </w:rPr>
        <w:t>本人有效的身份证原件</w:t>
      </w:r>
      <w:r>
        <w:rPr>
          <w:rFonts w:hint="eastAsia" w:ascii="宋体" w:hAnsi="宋体" w:cs="宋体"/>
          <w:szCs w:val="21"/>
          <w:highlight w:val="none"/>
        </w:rPr>
        <w:t>准时参加，并签名报到以证明其出席。</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15.3</w:t>
      </w:r>
      <w:r>
        <w:rPr>
          <w:rFonts w:hint="eastAsia" w:ascii="宋体" w:hAnsi="宋体" w:cs="宋体"/>
          <w:b/>
          <w:bCs/>
          <w:szCs w:val="21"/>
          <w:highlight w:val="none"/>
        </w:rPr>
        <w:t>谈判时，由供应商或者其推选的代表查验响应文件的密封情况。</w:t>
      </w:r>
    </w:p>
    <w:p>
      <w:pPr>
        <w:pStyle w:val="25"/>
        <w:spacing w:line="440" w:lineRule="exact"/>
        <w:rPr>
          <w:rFonts w:ascii="宋体" w:hAnsi="宋体" w:cs="宋体"/>
          <w:szCs w:val="21"/>
          <w:highlight w:val="none"/>
        </w:rPr>
      </w:pPr>
      <w:r>
        <w:rPr>
          <w:rFonts w:hint="eastAsia" w:ascii="宋体" w:hAnsi="宋体" w:cs="宋体"/>
          <w:szCs w:val="21"/>
          <w:highlight w:val="none"/>
        </w:rPr>
        <w:t>15.4</w:t>
      </w:r>
      <w:r>
        <w:rPr>
          <w:rFonts w:hint="eastAsia" w:ascii="宋体" w:hAnsi="宋体" w:cs="宋体"/>
          <w:color w:val="000000"/>
          <w:szCs w:val="21"/>
          <w:highlight w:val="none"/>
        </w:rPr>
        <w:t>供应商最终填写谈判报价表</w:t>
      </w:r>
      <w:r>
        <w:rPr>
          <w:rFonts w:hint="eastAsia" w:ascii="宋体" w:hAnsi="宋体" w:cs="宋体"/>
          <w:b/>
          <w:bCs/>
          <w:color w:val="000000"/>
          <w:szCs w:val="21"/>
          <w:highlight w:val="none"/>
        </w:rPr>
        <w:t>（至少二次报价，响应文件中为首轮报价）。</w:t>
      </w:r>
    </w:p>
    <w:p>
      <w:pPr>
        <w:pStyle w:val="25"/>
        <w:spacing w:line="440" w:lineRule="exact"/>
        <w:rPr>
          <w:rFonts w:ascii="宋体" w:hAnsi="宋体" w:cs="宋体"/>
          <w:highlight w:val="none"/>
        </w:rPr>
      </w:pPr>
      <w:r>
        <w:rPr>
          <w:rFonts w:hint="eastAsia" w:ascii="宋体" w:hAnsi="宋体" w:cs="宋体"/>
          <w:szCs w:val="21"/>
          <w:highlight w:val="none"/>
        </w:rPr>
        <w:t>15.5唱标：本项目无唱标环节。</w:t>
      </w:r>
    </w:p>
    <w:p>
      <w:pPr>
        <w:spacing w:line="440" w:lineRule="exact"/>
        <w:rPr>
          <w:rFonts w:ascii="宋体" w:hAnsi="宋体" w:cs="宋体"/>
          <w:b/>
          <w:szCs w:val="21"/>
          <w:highlight w:val="none"/>
        </w:rPr>
      </w:pPr>
      <w:r>
        <w:rPr>
          <w:rFonts w:hint="eastAsia" w:ascii="宋体" w:hAnsi="宋体" w:cs="宋体"/>
          <w:b/>
          <w:szCs w:val="21"/>
          <w:highlight w:val="none"/>
        </w:rPr>
        <w:t>16、谈判小组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16.1谈判开始后，代理机构将组织谈判小组进行评标。谈判小组由采购人代表和评审专家组成，且人员构成符合相关规定。谈判小组成员按照客观、公正、审慎的原则，根据谈判文件规定的评审程序、评审方法和评审标准进行独立评审。</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16.2谈判小组负责具体的评标事务，并独立履行以下职责：</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16.2.1审查、评价响应文件是否符合谈判文件的商务、技术等实质性要求；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16.2.2要求供应商对响应文件有关事项作出澄清或者说明；</w:t>
      </w:r>
    </w:p>
    <w:p>
      <w:pPr>
        <w:spacing w:line="440" w:lineRule="exact"/>
        <w:ind w:firstLine="420" w:firstLineChars="200"/>
        <w:rPr>
          <w:rFonts w:ascii="宋体" w:hAnsi="宋体" w:cs="宋体"/>
          <w:highlight w:val="none"/>
        </w:rPr>
      </w:pPr>
      <w:r>
        <w:rPr>
          <w:rFonts w:hint="eastAsia" w:ascii="宋体" w:hAnsi="宋体" w:cs="宋体"/>
          <w:szCs w:val="21"/>
          <w:highlight w:val="none"/>
        </w:rPr>
        <w:t>16.2.3对响应文件进行比较和评价；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16.2.4推荐中标候选人名单，或受代理机构委托按照事先确定的办法直接确定成交供应商；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16.2.5向采购人、代理机构或者有关部门报告评标中发现的违法行为。</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16.3谈判小组成员应当履行下列义务：</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16.3.1遵纪守法，客观、公正、廉洁地履行职责；</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16.3.2按照谈判文件规定的评审办法和评分标准进行评审，对评审意见承担个人责任；</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16.3.3对评标过程和结果，以及供应商的商业秘密保密；</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16.3.4负责评标报告的起草；</w:t>
      </w:r>
    </w:p>
    <w:p>
      <w:pPr>
        <w:pStyle w:val="5"/>
        <w:overflowPunct w:val="0"/>
        <w:spacing w:line="440" w:lineRule="exact"/>
        <w:rPr>
          <w:rFonts w:hAnsi="宋体" w:cs="宋体"/>
          <w:sz w:val="21"/>
          <w:szCs w:val="21"/>
          <w:highlight w:val="none"/>
        </w:rPr>
      </w:pPr>
      <w:r>
        <w:rPr>
          <w:rFonts w:hint="eastAsia" w:hAnsi="宋体" w:cs="宋体"/>
          <w:sz w:val="21"/>
          <w:szCs w:val="21"/>
          <w:highlight w:val="none"/>
        </w:rPr>
        <w:t>16.3.5配合相关部门的投诉处理工作；</w:t>
      </w:r>
    </w:p>
    <w:p>
      <w:pPr>
        <w:pStyle w:val="5"/>
        <w:overflowPunct w:val="0"/>
        <w:spacing w:line="440" w:lineRule="exact"/>
        <w:rPr>
          <w:rFonts w:hAnsi="宋体" w:cs="宋体"/>
          <w:szCs w:val="21"/>
          <w:highlight w:val="none"/>
        </w:rPr>
      </w:pPr>
      <w:r>
        <w:rPr>
          <w:rFonts w:hint="eastAsia" w:hAnsi="宋体" w:cs="宋体"/>
          <w:sz w:val="21"/>
          <w:szCs w:val="21"/>
          <w:highlight w:val="none"/>
        </w:rPr>
        <w:t>16.3.6配合代理机构答复供应商对中标结果提出的质疑。</w:t>
      </w:r>
    </w:p>
    <w:p>
      <w:pPr>
        <w:spacing w:line="440" w:lineRule="exact"/>
        <w:rPr>
          <w:rFonts w:ascii="宋体" w:hAnsi="宋体" w:cs="宋体"/>
          <w:b/>
          <w:szCs w:val="21"/>
          <w:highlight w:val="none"/>
        </w:rPr>
      </w:pPr>
      <w:r>
        <w:rPr>
          <w:rFonts w:hint="eastAsia" w:ascii="宋体" w:hAnsi="宋体" w:cs="宋体"/>
          <w:b/>
          <w:szCs w:val="21"/>
          <w:highlight w:val="none"/>
        </w:rPr>
        <w:t>17. 评审内容的保密</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17.2在评审过程中，供应商不得以任何行为影响评标过程，否则其响应文件将被作为无效响应文件。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17.3在评审期间，代理机构将设专门人员与供应商联系。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17.4代理机构和谈判小组不向落标的供应商解释未中标原因，也不公布评审过程中的相关细节。</w:t>
      </w:r>
    </w:p>
    <w:p>
      <w:pPr>
        <w:spacing w:line="440" w:lineRule="exact"/>
        <w:rPr>
          <w:rFonts w:ascii="宋体" w:hAnsi="宋体" w:cs="宋体"/>
          <w:b/>
          <w:szCs w:val="21"/>
          <w:highlight w:val="none"/>
        </w:rPr>
      </w:pPr>
      <w:r>
        <w:rPr>
          <w:rFonts w:hint="eastAsia" w:ascii="宋体" w:hAnsi="宋体" w:cs="宋体"/>
          <w:b/>
          <w:szCs w:val="21"/>
          <w:highlight w:val="none"/>
        </w:rPr>
        <w:t>18、对响应文件的审查</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响应文件初审分为资格性审查和符合性审查。</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18.1资格性审查：依据法律法规和谈判文件的规定，对响应文件中的资格证明文件进行审查。</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18.2符合性审查：依据谈判文件的规定，由谈判小组从响应文件的有效性、完整性和对谈判文件的响应程度进行审查，以确定是否对谈判文件的实质性要求作出响应。</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所谓重大偏离或保留是指影响到谈判文件中规定的实质性要求存在负偏离，或者在实质上与谈判文件不一致，而且限制了合同中采购人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18.4</w:t>
      </w:r>
      <w:r>
        <w:rPr>
          <w:rFonts w:hint="eastAsia" w:ascii="宋体" w:hAnsi="宋体" w:cs="宋体"/>
          <w:b/>
          <w:szCs w:val="21"/>
          <w:highlight w:val="none"/>
        </w:rPr>
        <w:t>响应文件有下列情况之一者，</w:t>
      </w:r>
      <w:r>
        <w:rPr>
          <w:rFonts w:hint="eastAsia" w:ascii="宋体" w:hAnsi="宋体" w:cs="宋体"/>
          <w:b/>
          <w:bCs/>
          <w:szCs w:val="21"/>
          <w:highlight w:val="none"/>
        </w:rPr>
        <w:t>将作为无效响应文件处理：</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18.4.1响应文件未按规定胶装、密封、签字、盖章的，未按要求提供“U盘”或未单独密封的；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18.4.2响应文件未加盖供应商公章的；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18.4.3法定代表人资格证明书或授权委托书未提供的、无供应商公章的、无法定代表人或委托代理人签字或盖章的、非原件的；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18.4.4供应商未通过报名的或者在名称上和法人地位上与报名情况发生实质性改变的；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18.4.5供应商不符合谈判文件中规定资格要求的，或者资格要求证明材料提供不齐全的；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18.4.6响应文件未按谈判文件规定的格式、内容和要求编制，响应文件字迹潦草、模糊、难以辨认；</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18.4.7供应商在一份响应文件中，对同一投标项目报有两个或多个报价，且未书面确定以哪个报价为准的；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18.4.8供应商在谈判报价中存在严重错误，并影响对其他供应商的评分的；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18.4.9响应文件材料所述情况和所附相关资料不实的；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18.4.10供应商以他人的名义投标、串通投标、以行贿手段谋取中标或者以其他弄虚作假方式投标的。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18.4.11逾期送达的响应文件；</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18.4.12未按谈判文件要求缴纳谈判保证金的；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18.4.13供应商的谈判报价超出采购预算或者最高限价的；</w:t>
      </w:r>
    </w:p>
    <w:p>
      <w:pPr>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18.4.15谈判文件明确规定无效的其他情形，或者其他被评委会认定无效的情况；</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18.4.16响应文件含有采购人不能接受的附加条件的；</w:t>
      </w:r>
    </w:p>
    <w:p>
      <w:pPr>
        <w:spacing w:line="440" w:lineRule="exact"/>
        <w:ind w:firstLine="439" w:firstLineChars="208"/>
        <w:jc w:val="left"/>
        <w:rPr>
          <w:rFonts w:ascii="宋体" w:hAnsi="宋体" w:cs="宋体"/>
          <w:b/>
          <w:szCs w:val="21"/>
          <w:highlight w:val="none"/>
        </w:rPr>
      </w:pPr>
      <w:r>
        <w:rPr>
          <w:rFonts w:hint="eastAsia" w:ascii="宋体" w:hAnsi="宋体" w:cs="宋体"/>
          <w:b/>
          <w:szCs w:val="21"/>
          <w:highlight w:val="none"/>
        </w:rPr>
        <w:t>18.4.17供应商及其联合体中任何一个成员被列入失信被执行人、重大税收违法失信主体、政府采购严重违法失信行为记录名单的。[查询渠道：“信用中国”网站（www.creditchina.gov.cn）、中国政府采购网(www.ccgp.gov.cn)网站的相关主体信用记录]；</w:t>
      </w:r>
    </w:p>
    <w:p>
      <w:pPr>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18.4.18未按要求提供带“*”项材料的；</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18.4.19不符合法律、法规和谈判文件规定的其他实质性要求的。</w:t>
      </w:r>
    </w:p>
    <w:p>
      <w:pPr>
        <w:spacing w:line="440" w:lineRule="exact"/>
        <w:ind w:firstLine="439" w:firstLineChars="208"/>
        <w:rPr>
          <w:rFonts w:ascii="宋体" w:hAnsi="宋体" w:cs="宋体"/>
          <w:b/>
          <w:szCs w:val="21"/>
          <w:highlight w:val="none"/>
        </w:rPr>
      </w:pPr>
      <w:r>
        <w:rPr>
          <w:rFonts w:hint="eastAsia" w:ascii="宋体" w:hAnsi="宋体" w:cs="宋体"/>
          <w:b/>
          <w:szCs w:val="21"/>
          <w:highlight w:val="none"/>
        </w:rPr>
        <w:t>18.5有下列情形之一的，视为供应商串通投标，投标无效：</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18.5.1不同供应商的响应文件由同一单位或者个人编制；</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18.5.2不同供应商委托同一单位或者个人办理投标事宜；</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18.5.3不同供应商的响应文件载明的项目管理成员或者联系人员为同一人；</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18.5.4不同供应商的响应文件异常一致或者谈判报价呈规律性差异；</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18.5.5不同供应商的响应文件相互混装；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18.5.6不同供应商的谈判保证金从同一单位或者个人的账户转出。</w:t>
      </w:r>
    </w:p>
    <w:p>
      <w:pPr>
        <w:spacing w:line="440" w:lineRule="exact"/>
        <w:ind w:firstLine="436" w:firstLineChars="208"/>
        <w:rPr>
          <w:rFonts w:ascii="宋体" w:hAnsi="宋体" w:cs="宋体"/>
          <w:szCs w:val="21"/>
          <w:highlight w:val="none"/>
        </w:rPr>
      </w:pPr>
      <w:r>
        <w:rPr>
          <w:rFonts w:hint="eastAsia" w:ascii="宋体" w:hAnsi="宋体" w:cs="宋体"/>
          <w:szCs w:val="21"/>
          <w:highlight w:val="none"/>
        </w:rPr>
        <w:t>18.6投标截止时间结束后参加投标的供应商不足三家的处理：如出现投标截止时间结束后参加投标的供应商或者在评审期间对谈判文件做出实质响应的供应商不足三家情况，按相关规定执行。</w:t>
      </w:r>
    </w:p>
    <w:p>
      <w:pPr>
        <w:spacing w:line="440" w:lineRule="exact"/>
        <w:rPr>
          <w:rFonts w:ascii="宋体" w:hAnsi="宋体" w:cs="宋体"/>
          <w:b/>
          <w:kern w:val="0"/>
          <w:szCs w:val="21"/>
          <w:highlight w:val="none"/>
        </w:rPr>
      </w:pPr>
      <w:r>
        <w:rPr>
          <w:rFonts w:hint="eastAsia" w:ascii="宋体" w:hAnsi="宋体" w:cs="宋体"/>
          <w:b/>
          <w:kern w:val="0"/>
          <w:szCs w:val="21"/>
          <w:highlight w:val="none"/>
        </w:rPr>
        <w:t>19、谈判响应文件的澄清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19.1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19.2谈判小组可要求供应商就澄清的问题作出答复，该答复经供应商代表的签字认可，将作为响应文件内容的一部分。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19.3供应商在进行澄清、说明、答辩或补正时，不得改变投标的价格（校核时发现的算术错误除外）、超出谈判文件的范围及改变响应文件的实质性内容。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19.4响应文件报价出现前后不一致的，除谈判文件另有规定外，按照下列规定修正：</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19.4.1响应文件中开标一览表（报价一览表）内容与响应文件中相应内容不一致的，以开标一览表（报价一览表）为准；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19.4.2响应文件的大写金额与小写金额不一致的，以大写金额为准；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19.4.3单价金额小数点或者百分比有明显错位的，以开标一览表（报价一览表）的总价为准，并修改单价；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19.4.4总价金额与按单价汇总金额不一致的，以单价金额计算结果为准。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cs="宋体"/>
          <w:b/>
          <w:szCs w:val="21"/>
          <w:highlight w:val="none"/>
        </w:rPr>
        <w:t>存在缺项漏项或者数量不符合谈判文件要求的作为无效响应文件处理</w:t>
      </w:r>
      <w:r>
        <w:rPr>
          <w:rFonts w:hint="eastAsia" w:ascii="宋体" w:hAnsi="宋体" w:cs="宋体"/>
          <w:szCs w:val="21"/>
          <w:highlight w:val="none"/>
        </w:rPr>
        <w:t>；对不同文字文本响应文件的解释发生异议的，以中文文本为准。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19.5供应商拒不按照谈判小组要求作出澄清、说明或者补正的，作为无效投标处理。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19.6 谈判小组对响应文件的判定，只依据投标内容本身，不依靠谈判后的任何外来证明。</w:t>
      </w:r>
    </w:p>
    <w:p>
      <w:pPr>
        <w:spacing w:line="440" w:lineRule="exact"/>
        <w:rPr>
          <w:rFonts w:ascii="宋体" w:hAnsi="宋体" w:cs="宋体"/>
          <w:b/>
          <w:szCs w:val="21"/>
          <w:highlight w:val="none"/>
        </w:rPr>
      </w:pPr>
      <w:r>
        <w:rPr>
          <w:rFonts w:hint="eastAsia" w:ascii="宋体" w:hAnsi="宋体" w:cs="宋体"/>
          <w:b/>
          <w:szCs w:val="21"/>
          <w:highlight w:val="none"/>
        </w:rPr>
        <w:t>20．出现下列情形之一的，终止竞争性谈判采购活动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20.1 因情况变化，不再符合规定的竞争性谈判采购方式适用情形的；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20.2 出现影响采购公正的违法、违规行为的；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20.3 供应商的最终报价均超过了项目预算，采购人不能支付的；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20.4 因重大变故，采购任务取消的。</w:t>
      </w:r>
    </w:p>
    <w:p>
      <w:pPr>
        <w:spacing w:line="440" w:lineRule="exact"/>
        <w:rPr>
          <w:rFonts w:ascii="宋体" w:hAnsi="宋体" w:cs="宋体"/>
          <w:b/>
          <w:szCs w:val="21"/>
          <w:highlight w:val="none"/>
        </w:rPr>
      </w:pPr>
      <w:r>
        <w:rPr>
          <w:rFonts w:hint="eastAsia" w:ascii="宋体" w:hAnsi="宋体" w:cs="宋体"/>
          <w:b/>
          <w:szCs w:val="21"/>
          <w:highlight w:val="none"/>
        </w:rPr>
        <w:t>21、评审、定标方法</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采购人或者采购人委托谈判小组按照谈判文件规定的方式确定一个参加评标的供应商。</w:t>
      </w:r>
    </w:p>
    <w:p>
      <w:pPr>
        <w:spacing w:line="440" w:lineRule="exact"/>
        <w:ind w:firstLine="502"/>
        <w:rPr>
          <w:rFonts w:ascii="宋体" w:hAnsi="宋体" w:cs="宋体"/>
          <w:b/>
          <w:szCs w:val="21"/>
          <w:highlight w:val="none"/>
        </w:rPr>
      </w:pPr>
      <w:r>
        <w:rPr>
          <w:rFonts w:hint="eastAsia" w:ascii="宋体" w:hAnsi="宋体" w:cs="宋体"/>
          <w:b/>
          <w:szCs w:val="21"/>
          <w:highlight w:val="none"/>
        </w:rPr>
        <w:t>21.2采购人授权谈判小组直接确定成交供应商。</w:t>
      </w:r>
    </w:p>
    <w:p>
      <w:pPr>
        <w:pStyle w:val="5"/>
        <w:overflowPunct w:val="0"/>
        <w:spacing w:line="440" w:lineRule="exact"/>
        <w:ind w:firstLine="0"/>
        <w:rPr>
          <w:rFonts w:hAnsi="宋体" w:cs="宋体"/>
          <w:b/>
          <w:sz w:val="21"/>
          <w:szCs w:val="21"/>
          <w:highlight w:val="none"/>
        </w:rPr>
      </w:pPr>
      <w:r>
        <w:rPr>
          <w:rFonts w:hint="eastAsia" w:hAnsi="宋体" w:cs="宋体"/>
          <w:b/>
          <w:sz w:val="21"/>
          <w:szCs w:val="21"/>
          <w:highlight w:val="none"/>
        </w:rPr>
        <w:t>22.成交结果及公示</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22.1代理机构将成交结果在</w:t>
      </w:r>
      <w:r>
        <w:rPr>
          <w:rFonts w:hint="eastAsia" w:hAnsi="宋体" w:cs="宋体"/>
          <w:b/>
          <w:bCs/>
          <w:sz w:val="21"/>
          <w:szCs w:val="21"/>
          <w:highlight w:val="none"/>
        </w:rPr>
        <w:t>“常州青枫招标有限公司”</w:t>
      </w:r>
      <w:r>
        <w:rPr>
          <w:rFonts w:hint="eastAsia" w:hAnsi="宋体" w:cs="宋体"/>
          <w:sz w:val="21"/>
          <w:szCs w:val="21"/>
          <w:highlight w:val="none"/>
        </w:rPr>
        <w:t>网站上予以公告。公告期限为1个工作日。</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22.2若有充分证据证明，成交供应商出现下列情况之一的，一经查实，将被取消中标资格；</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22.2.1提供虚假材料谋取中标的；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22.2.2向采购人、代理机构行贿或者提供其他不正当利益的；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22.2.3恶意竞争，投标总报价明显低于其自身合理成本且又无法提供证明的；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22.2.4属于本文件规定的无效条件，但在评审过程中又未被评委会发现的；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22.2.5与采购人或者其他供应商恶意串通的；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22.2.6采取不正当手段诋毁、排挤其他供应商的；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22.2.7不符合法律、法规的规定的。</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22.3供应商认为谈判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未参加投标活动的供应商或在投标活动中自身权益未受到损害的供应商所提出的质疑不予受理。</w:t>
      </w:r>
    </w:p>
    <w:p>
      <w:pPr>
        <w:pStyle w:val="5"/>
        <w:overflowPunct w:val="0"/>
        <w:spacing w:line="440" w:lineRule="exact"/>
        <w:ind w:firstLineChars="200"/>
        <w:rPr>
          <w:rFonts w:hAnsi="宋体" w:cs="宋体"/>
          <w:sz w:val="21"/>
          <w:szCs w:val="21"/>
          <w:highlight w:val="none"/>
        </w:rPr>
      </w:pPr>
      <w:r>
        <w:rPr>
          <w:rFonts w:hint="eastAsia" w:hAnsi="宋体" w:cs="宋体"/>
          <w:sz w:val="21"/>
          <w:szCs w:val="21"/>
          <w:highlight w:val="none"/>
        </w:rPr>
        <w:t>成交公示期间，如有参加投标的供应商提出有效质疑，并因此可能对成交结果产生影响，而最终被取消成交的，代理机构对成交供应商不承担任何责任。</w:t>
      </w:r>
    </w:p>
    <w:p>
      <w:pPr>
        <w:pStyle w:val="5"/>
        <w:overflowPunct w:val="0"/>
        <w:spacing w:line="440" w:lineRule="exact"/>
        <w:ind w:firstLine="0"/>
        <w:rPr>
          <w:rFonts w:hAnsi="宋体" w:cs="宋体"/>
          <w:b/>
          <w:sz w:val="21"/>
          <w:szCs w:val="21"/>
          <w:highlight w:val="none"/>
        </w:rPr>
      </w:pPr>
      <w:r>
        <w:rPr>
          <w:rFonts w:hint="eastAsia" w:hAnsi="宋体" w:cs="宋体"/>
          <w:b/>
          <w:sz w:val="21"/>
          <w:szCs w:val="21"/>
          <w:highlight w:val="none"/>
        </w:rPr>
        <w:t>23、成交通知书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23.1成交结果公告发布确定后，代理机构将向成交供应商发出中标（成交）通知书；</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23.2中标（成交）通知书对采购人和成交供应商具有法律约束力。中标（成交）通知书发出后，采购人改变成交结果或者成交供应商放弃成交，均应当承担相应的法律责任，且不影响服务费的支付；</w:t>
      </w:r>
    </w:p>
    <w:p>
      <w:pPr>
        <w:pStyle w:val="5"/>
        <w:overflowPunct w:val="0"/>
        <w:spacing w:line="440" w:lineRule="exact"/>
        <w:rPr>
          <w:rFonts w:hAnsi="宋体" w:cs="宋体"/>
          <w:sz w:val="21"/>
          <w:szCs w:val="21"/>
          <w:highlight w:val="none"/>
        </w:rPr>
      </w:pPr>
      <w:r>
        <w:rPr>
          <w:rFonts w:hint="eastAsia" w:hAnsi="宋体" w:cs="宋体"/>
          <w:sz w:val="21"/>
          <w:szCs w:val="21"/>
          <w:highlight w:val="none"/>
        </w:rPr>
        <w:t>23.3代理机构及采购人对未成交的供应商不承担解释未成交原因的义务。</w:t>
      </w:r>
    </w:p>
    <w:p>
      <w:pPr>
        <w:spacing w:line="440" w:lineRule="exact"/>
        <w:rPr>
          <w:rFonts w:ascii="宋体" w:hAnsi="宋体" w:cs="宋体"/>
          <w:b/>
          <w:szCs w:val="21"/>
          <w:highlight w:val="none"/>
        </w:rPr>
      </w:pPr>
      <w:r>
        <w:rPr>
          <w:rFonts w:hint="eastAsia" w:ascii="宋体" w:hAnsi="宋体" w:cs="宋体"/>
          <w:b/>
          <w:szCs w:val="21"/>
          <w:highlight w:val="none"/>
        </w:rPr>
        <w:t>24.履约保证金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24.1成交供应商应按规定提交履约保证金。</w:t>
      </w:r>
    </w:p>
    <w:p>
      <w:pPr>
        <w:spacing w:line="440" w:lineRule="exact"/>
        <w:ind w:firstLine="420" w:firstLineChars="200"/>
        <w:rPr>
          <w:rFonts w:ascii="宋体" w:hAnsi="宋体" w:cs="宋体"/>
          <w:b/>
          <w:szCs w:val="21"/>
          <w:highlight w:val="none"/>
          <w:u w:val="single"/>
        </w:rPr>
      </w:pPr>
      <w:r>
        <w:rPr>
          <w:rFonts w:hint="eastAsia" w:ascii="宋体" w:hAnsi="宋体" w:cs="宋体"/>
          <w:szCs w:val="21"/>
          <w:highlight w:val="none"/>
        </w:rPr>
        <w:t>24.2成交供应商须在</w:t>
      </w:r>
      <w:r>
        <w:rPr>
          <w:rFonts w:hint="eastAsia" w:ascii="宋体" w:hAnsi="宋体" w:cs="宋体"/>
          <w:b/>
          <w:bCs/>
          <w:szCs w:val="21"/>
          <w:highlight w:val="none"/>
        </w:rPr>
        <w:t>合同签订之日起5日</w:t>
      </w:r>
      <w:r>
        <w:rPr>
          <w:rFonts w:hint="eastAsia" w:ascii="宋体" w:hAnsi="宋体" w:cs="宋体"/>
          <w:szCs w:val="21"/>
          <w:highlight w:val="none"/>
        </w:rPr>
        <w:t>内向采购人提供履金额为合同总价格</w:t>
      </w:r>
      <w:r>
        <w:rPr>
          <w:rFonts w:hint="eastAsia" w:ascii="宋体" w:hAnsi="宋体" w:cs="宋体"/>
          <w:szCs w:val="21"/>
          <w:highlight w:val="none"/>
          <w:u w:val="single"/>
        </w:rPr>
        <w:t xml:space="preserve"> </w:t>
      </w:r>
      <w:r>
        <w:rPr>
          <w:rFonts w:hint="eastAsia" w:ascii="宋体" w:hAnsi="宋体" w:cs="宋体"/>
          <w:color w:val="000000"/>
          <w:szCs w:val="21"/>
          <w:highlight w:val="none"/>
          <w:u w:val="single"/>
        </w:rPr>
        <w:t>/</w:t>
      </w:r>
      <w:r>
        <w:rPr>
          <w:rFonts w:hint="eastAsia" w:ascii="宋体" w:hAnsi="宋体" w:cs="宋体"/>
          <w:szCs w:val="21"/>
          <w:highlight w:val="none"/>
          <w:u w:val="single"/>
        </w:rPr>
        <w:t>%</w:t>
      </w:r>
      <w:r>
        <w:rPr>
          <w:rFonts w:hint="eastAsia" w:ascii="宋体" w:hAnsi="宋体" w:cs="宋体"/>
          <w:szCs w:val="21"/>
          <w:highlight w:val="none"/>
        </w:rPr>
        <w:t>的履约保证金或保函。</w:t>
      </w:r>
    </w:p>
    <w:p>
      <w:pPr>
        <w:widowControl/>
        <w:spacing w:line="440" w:lineRule="exact"/>
        <w:ind w:firstLine="420" w:firstLineChars="200"/>
        <w:rPr>
          <w:rFonts w:ascii="宋体" w:hAnsi="宋体" w:cs="宋体"/>
          <w:szCs w:val="21"/>
          <w:highlight w:val="none"/>
        </w:rPr>
      </w:pPr>
      <w:r>
        <w:rPr>
          <w:rFonts w:hint="eastAsia" w:ascii="宋体" w:hAnsi="宋体" w:cs="宋体"/>
          <w:szCs w:val="21"/>
          <w:highlight w:val="none"/>
        </w:rPr>
        <w:t>24.3履约保证金将项目结束后30日内无息退返成交供应商。</w:t>
      </w:r>
    </w:p>
    <w:p>
      <w:pPr>
        <w:spacing w:line="440" w:lineRule="exact"/>
        <w:rPr>
          <w:rFonts w:ascii="宋体" w:hAnsi="宋体" w:cs="宋体"/>
          <w:b/>
          <w:szCs w:val="21"/>
          <w:highlight w:val="none"/>
        </w:rPr>
      </w:pPr>
      <w:r>
        <w:rPr>
          <w:rFonts w:hint="eastAsia" w:ascii="宋体" w:hAnsi="宋体" w:cs="宋体"/>
          <w:b/>
          <w:szCs w:val="21"/>
          <w:highlight w:val="none"/>
        </w:rPr>
        <w:t>25.代理机构服务费</w:t>
      </w:r>
    </w:p>
    <w:p>
      <w:pPr>
        <w:spacing w:line="440" w:lineRule="exact"/>
        <w:ind w:firstLine="420" w:firstLineChars="200"/>
        <w:rPr>
          <w:rFonts w:ascii="宋体" w:hAnsi="宋体" w:cs="宋体"/>
          <w:b/>
          <w:szCs w:val="21"/>
          <w:highlight w:val="none"/>
        </w:rPr>
      </w:pPr>
      <w:r>
        <w:rPr>
          <w:rFonts w:hint="eastAsia" w:ascii="宋体" w:hAnsi="宋体" w:cs="宋体"/>
          <w:szCs w:val="21"/>
          <w:highlight w:val="none"/>
        </w:rPr>
        <w:t>25.1</w:t>
      </w:r>
      <w:r>
        <w:rPr>
          <w:rFonts w:hint="eastAsia" w:ascii="宋体" w:hAnsi="宋体" w:cs="宋体"/>
          <w:b/>
          <w:szCs w:val="21"/>
          <w:highlight w:val="none"/>
        </w:rPr>
        <w:t>服务费按照下列标准收取并由成交供应商承担，供应商报价时应考虑在内，成交供应商应在领取成交通知书时将中标服务费付至采购代理机构以下账户</w:t>
      </w:r>
      <w:r>
        <w:rPr>
          <w:rFonts w:ascii="宋体" w:hAnsi="宋体" w:cs="宋体"/>
          <w:b/>
          <w:szCs w:val="21"/>
          <w:highlight w:val="none"/>
        </w:rPr>
        <mc:AlternateContent>
          <mc:Choice Requires="wps">
            <w:drawing>
              <wp:anchor distT="0" distB="0" distL="113665" distR="113665" simplePos="0" relativeHeight="251661312" behindDoc="1" locked="0" layoutInCell="1" allowOverlap="1">
                <wp:simplePos x="0" y="0"/>
                <wp:positionH relativeFrom="page">
                  <wp:posOffset>2054225</wp:posOffset>
                </wp:positionH>
                <wp:positionV relativeFrom="paragraph">
                  <wp:posOffset>224155</wp:posOffset>
                </wp:positionV>
                <wp:extent cx="0" cy="9525"/>
                <wp:effectExtent l="0" t="0" r="0" b="9525"/>
                <wp:wrapNone/>
                <wp:docPr id="13"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5" o:spid="_x0000_s1026" o:spt="100" style="position:absolute;left:0pt;margin-left:161.75pt;margin-top:17.65pt;height:0.75pt;width:0pt;mso-position-horizontal-relative:page;z-index:-251655168;mso-width-relative:page;mso-height-relative:page;" filled="f" stroked="t" coordsize="20,20" o:gfxdata="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J3boLNgAAAAJAQAADwAAAAAAAAABACAAAAAiAAAAZHJzL2Rvd25yZXYu&#10;eG1sUEsBAhQAFAAAAAgAh07iQH6nueumAgAAtwUAAA4AAAAAAAAAAQAgAAAAJwEAAGRycy9lMm9E&#10;b2MueG1sUEsFBgAAAAAGAAYAWQEAAD8GAAAAAA==&#10;" path="m0,0l0,15e">
                <v:path o:connectlocs="0,0;0,7143" o:connectangles="0,0"/>
                <v:fill on="f" focussize="0,0"/>
                <v:stroke weight="0.05pt" color="#000000" joinstyle="round"/>
                <v:imagedata o:title=""/>
                <o:lock v:ext="edit" aspectratio="f"/>
              </v:shape>
            </w:pict>
          </mc:Fallback>
        </mc:AlternateContent>
      </w:r>
      <w:r>
        <w:rPr>
          <w:rFonts w:hint="eastAsia" w:ascii="宋体" w:hAnsi="宋体" w:cs="宋体"/>
          <w:b/>
          <w:szCs w:val="21"/>
          <w:highlight w:val="none"/>
        </w:rPr>
        <w:t>：</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收款单位：常州青枫招标有限公司</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收款银行：中信银行常州分行</w:t>
      </w:r>
    </w:p>
    <w:p>
      <w:pPr>
        <w:spacing w:line="440" w:lineRule="exact"/>
        <w:ind w:firstLine="422" w:firstLineChars="200"/>
        <w:rPr>
          <w:rFonts w:ascii="宋体" w:hAnsi="宋体" w:cs="宋体"/>
          <w:szCs w:val="21"/>
          <w:highlight w:val="none"/>
        </w:rPr>
      </w:pPr>
      <w:r>
        <w:rPr>
          <w:rFonts w:hint="eastAsia" w:ascii="宋体" w:hAnsi="宋体" w:cs="宋体"/>
          <w:b/>
          <w:szCs w:val="21"/>
          <w:highlight w:val="none"/>
        </w:rPr>
        <w:t>银行账号：811 0501 0121 0099 2840</w:t>
      </w:r>
      <w:r>
        <w:rPr>
          <w:rFonts w:hint="eastAsia" w:ascii="宋体" w:hAnsi="宋体" w:cs="宋体"/>
          <w:szCs w:val="21"/>
          <w:highlight w:val="none"/>
        </w:rPr>
        <w:t xml:space="preserve">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25.2代理服务收费标准</w:t>
      </w:r>
    </w:p>
    <w:tbl>
      <w:tblPr>
        <w:tblStyle w:val="26"/>
        <w:tblW w:w="4955" w:type="dxa"/>
        <w:tblInd w:w="1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0" w:type="dxa"/>
            <w:vAlign w:val="center"/>
          </w:tcPr>
          <w:p>
            <w:pPr>
              <w:pStyle w:val="61"/>
              <w:kinsoku w:val="0"/>
              <w:overflowPunct w:val="0"/>
              <w:spacing w:line="440" w:lineRule="exact"/>
              <w:jc w:val="center"/>
              <w:rPr>
                <w:rFonts w:ascii="宋体" w:hAnsi="宋体" w:cs="宋体"/>
                <w:sz w:val="21"/>
                <w:szCs w:val="21"/>
                <w:highlight w:val="none"/>
              </w:rPr>
            </w:pPr>
            <w:r>
              <w:rPr>
                <w:rFonts w:hint="eastAsia" w:ascii="宋体" w:hAnsi="宋体" w:cs="宋体"/>
                <w:sz w:val="21"/>
                <w:szCs w:val="21"/>
                <w:highlight w:val="none"/>
              </w:rPr>
              <w:t>中标</w:t>
            </w:r>
            <w:r>
              <w:rPr>
                <w:rFonts w:hint="eastAsia" w:ascii="宋体" w:hAnsi="宋体" w:cs="宋体"/>
                <w:spacing w:val="-3"/>
                <w:sz w:val="21"/>
                <w:szCs w:val="21"/>
                <w:highlight w:val="none"/>
              </w:rPr>
              <w:t>金</w:t>
            </w:r>
            <w:r>
              <w:rPr>
                <w:rFonts w:hint="eastAsia" w:ascii="宋体" w:hAnsi="宋体" w:cs="宋体"/>
                <w:sz w:val="21"/>
                <w:szCs w:val="21"/>
                <w:highlight w:val="none"/>
              </w:rPr>
              <w:t>额</w:t>
            </w:r>
            <w:r>
              <w:rPr>
                <w:rFonts w:hint="eastAsia" w:ascii="宋体" w:hAnsi="宋体" w:cs="宋体"/>
                <w:spacing w:val="-3"/>
                <w:sz w:val="21"/>
                <w:szCs w:val="21"/>
                <w:highlight w:val="none"/>
              </w:rPr>
              <w:t>（</w:t>
            </w:r>
            <w:r>
              <w:rPr>
                <w:rFonts w:hint="eastAsia" w:ascii="宋体" w:hAnsi="宋体" w:cs="宋体"/>
                <w:sz w:val="21"/>
                <w:szCs w:val="21"/>
                <w:highlight w:val="none"/>
              </w:rPr>
              <w:t>万</w:t>
            </w:r>
            <w:r>
              <w:rPr>
                <w:rFonts w:hint="eastAsia" w:ascii="宋体" w:hAnsi="宋体" w:cs="宋体"/>
                <w:spacing w:val="-3"/>
                <w:sz w:val="21"/>
                <w:szCs w:val="21"/>
                <w:highlight w:val="none"/>
              </w:rPr>
              <w:t>元</w:t>
            </w:r>
            <w:r>
              <w:rPr>
                <w:rFonts w:hint="eastAsia" w:ascii="宋体" w:hAnsi="宋体" w:cs="宋体"/>
                <w:sz w:val="21"/>
                <w:szCs w:val="21"/>
                <w:highlight w:val="none"/>
              </w:rPr>
              <w:t>）</w:t>
            </w:r>
          </w:p>
        </w:tc>
        <w:tc>
          <w:tcPr>
            <w:tcW w:w="1725" w:type="dxa"/>
            <w:vAlign w:val="center"/>
          </w:tcPr>
          <w:p>
            <w:pPr>
              <w:pStyle w:val="61"/>
              <w:kinsoku w:val="0"/>
              <w:overflowPunct w:val="0"/>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0" w:type="dxa"/>
            <w:vAlign w:val="center"/>
          </w:tcPr>
          <w:p>
            <w:pPr>
              <w:pStyle w:val="61"/>
              <w:tabs>
                <w:tab w:val="center" w:pos="866"/>
                <w:tab w:val="left" w:pos="1157"/>
              </w:tabs>
              <w:kinsoku w:val="0"/>
              <w:overflowPunct w:val="0"/>
              <w:spacing w:line="440" w:lineRule="exact"/>
              <w:ind w:right="624"/>
              <w:jc w:val="center"/>
              <w:rPr>
                <w:rFonts w:ascii="宋体" w:hAnsi="宋体" w:cs="宋体"/>
                <w:sz w:val="21"/>
                <w:szCs w:val="21"/>
                <w:highlight w:val="none"/>
              </w:rPr>
            </w:pPr>
            <w:r>
              <w:rPr>
                <w:rFonts w:hint="eastAsia" w:ascii="宋体" w:hAnsi="宋体" w:cs="宋体"/>
                <w:sz w:val="21"/>
                <w:szCs w:val="21"/>
                <w:highlight w:val="none"/>
              </w:rPr>
              <w:t xml:space="preserve">   100</w:t>
            </w:r>
            <w:r>
              <w:rPr>
                <w:rFonts w:hint="eastAsia" w:ascii="宋体" w:hAnsi="宋体" w:cs="宋体"/>
                <w:spacing w:val="-3"/>
                <w:sz w:val="21"/>
                <w:szCs w:val="21"/>
                <w:highlight w:val="none"/>
              </w:rPr>
              <w:t>（</w:t>
            </w:r>
            <w:r>
              <w:rPr>
                <w:rFonts w:hint="eastAsia" w:ascii="宋体" w:hAnsi="宋体" w:cs="宋体"/>
                <w:sz w:val="21"/>
                <w:szCs w:val="21"/>
                <w:highlight w:val="none"/>
              </w:rPr>
              <w:t>含</w:t>
            </w:r>
            <w:r>
              <w:rPr>
                <w:rFonts w:hint="eastAsia" w:ascii="宋体" w:hAnsi="宋体" w:cs="宋体"/>
                <w:spacing w:val="-3"/>
                <w:sz w:val="21"/>
                <w:szCs w:val="21"/>
                <w:highlight w:val="none"/>
              </w:rPr>
              <w:t>，</w:t>
            </w:r>
            <w:r>
              <w:rPr>
                <w:rFonts w:hint="eastAsia" w:ascii="宋体" w:hAnsi="宋体" w:cs="宋体"/>
                <w:sz w:val="21"/>
                <w:szCs w:val="21"/>
                <w:highlight w:val="none"/>
              </w:rPr>
              <w:t>下</w:t>
            </w:r>
            <w:r>
              <w:rPr>
                <w:rFonts w:hint="eastAsia" w:ascii="宋体" w:hAnsi="宋体" w:cs="宋体"/>
                <w:spacing w:val="-3"/>
                <w:sz w:val="21"/>
                <w:szCs w:val="21"/>
                <w:highlight w:val="none"/>
              </w:rPr>
              <w:t>同</w:t>
            </w:r>
            <w:r>
              <w:rPr>
                <w:rFonts w:hint="eastAsia" w:ascii="宋体" w:hAnsi="宋体" w:cs="宋体"/>
                <w:sz w:val="21"/>
                <w:szCs w:val="21"/>
                <w:highlight w:val="none"/>
              </w:rPr>
              <w:t>）</w:t>
            </w:r>
            <w:r>
              <w:rPr>
                <w:rFonts w:hint="eastAsia" w:ascii="宋体" w:hAnsi="宋体" w:cs="宋体"/>
                <w:spacing w:val="-3"/>
                <w:sz w:val="21"/>
                <w:szCs w:val="21"/>
                <w:highlight w:val="none"/>
              </w:rPr>
              <w:t>以</w:t>
            </w:r>
            <w:r>
              <w:rPr>
                <w:rFonts w:hint="eastAsia" w:ascii="宋体" w:hAnsi="宋体" w:cs="宋体"/>
                <w:sz w:val="21"/>
                <w:szCs w:val="21"/>
                <w:highlight w:val="none"/>
              </w:rPr>
              <w:t>下</w:t>
            </w:r>
          </w:p>
        </w:tc>
        <w:tc>
          <w:tcPr>
            <w:tcW w:w="1725" w:type="dxa"/>
            <w:vAlign w:val="center"/>
          </w:tcPr>
          <w:p>
            <w:pPr>
              <w:widowControl/>
              <w:spacing w:line="440" w:lineRule="exact"/>
              <w:ind w:firstLine="420" w:firstLineChars="200"/>
              <w:textAlignment w:val="center"/>
              <w:rPr>
                <w:rFonts w:ascii="宋体" w:hAnsi="宋体" w:cs="宋体"/>
                <w:szCs w:val="21"/>
                <w:highlight w:val="none"/>
              </w:rPr>
            </w:pPr>
            <w:r>
              <w:rPr>
                <w:rFonts w:hint="eastAsia" w:ascii="宋体" w:hAnsi="宋体" w:cs="宋体"/>
                <w:szCs w:val="21"/>
                <w:highlight w:val="none"/>
              </w:rPr>
              <w:t>1.0%</w:t>
            </w:r>
          </w:p>
        </w:tc>
      </w:tr>
    </w:tbl>
    <w:p>
      <w:pPr>
        <w:spacing w:line="440" w:lineRule="exact"/>
        <w:ind w:firstLine="420" w:firstLineChars="200"/>
        <w:rPr>
          <w:rFonts w:ascii="宋体" w:hAnsi="宋体" w:cs="宋体"/>
          <w:szCs w:val="21"/>
          <w:highlight w:val="none"/>
        </w:rPr>
      </w:pPr>
      <w:r>
        <w:rPr>
          <w:rFonts w:hint="eastAsia" w:ascii="宋体" w:hAnsi="宋体" w:cs="宋体"/>
          <w:szCs w:val="21"/>
          <w:highlight w:val="none"/>
        </w:rPr>
        <w:t>25.2.1中标服务收费按差额定率累进法计算。</w:t>
      </w:r>
    </w:p>
    <w:p>
      <w:pPr>
        <w:spacing w:line="440" w:lineRule="exact"/>
        <w:ind w:firstLine="420" w:firstLineChars="200"/>
        <w:rPr>
          <w:rFonts w:ascii="宋体" w:hAnsi="宋体" w:cs="宋体"/>
          <w:b/>
          <w:bCs/>
          <w:color w:val="000000"/>
          <w:szCs w:val="21"/>
          <w:highlight w:val="none"/>
        </w:rPr>
      </w:pPr>
      <w:r>
        <w:rPr>
          <w:rFonts w:hint="eastAsia" w:ascii="宋体" w:hAnsi="宋体" w:cs="宋体"/>
          <w:szCs w:val="21"/>
          <w:highlight w:val="none"/>
        </w:rPr>
        <w:t>25.2.2中标服务收费按上述计算方法不足人民币3000元的，按人民币3000元收取。</w:t>
      </w:r>
    </w:p>
    <w:p>
      <w:pPr>
        <w:spacing w:line="440" w:lineRule="exact"/>
        <w:rPr>
          <w:rFonts w:ascii="宋体" w:hAnsi="宋体" w:cs="宋体"/>
          <w:b/>
          <w:szCs w:val="21"/>
          <w:highlight w:val="none"/>
        </w:rPr>
      </w:pPr>
      <w:r>
        <w:rPr>
          <w:rFonts w:hint="eastAsia" w:ascii="宋体" w:hAnsi="宋体" w:cs="宋体"/>
          <w:b/>
          <w:szCs w:val="21"/>
          <w:highlight w:val="none"/>
        </w:rPr>
        <w:t>26. 合同的签订</w:t>
      </w:r>
    </w:p>
    <w:p>
      <w:pPr>
        <w:spacing w:line="440" w:lineRule="exact"/>
        <w:ind w:firstLine="420" w:firstLineChars="200"/>
        <w:rPr>
          <w:rFonts w:ascii="宋体" w:hAnsi="宋体" w:cs="宋体"/>
          <w:highlight w:val="none"/>
        </w:rPr>
      </w:pPr>
      <w:r>
        <w:rPr>
          <w:rFonts w:hint="eastAsia" w:ascii="宋体" w:hAnsi="宋体" w:cs="宋体"/>
          <w:szCs w:val="21"/>
          <w:highlight w:val="none"/>
        </w:rPr>
        <w:t>26.1成交供应商应按中标（成交）通知书规定的时间、地点，按照谈判文件确定的事项与采购人签订采购合同，且不得迟于中标（成交）通知之日起三十日内，否则谈判保证金将不予退还，由此给采购人造成损失的，成交供应商还应承担赔偿责任。</w:t>
      </w:r>
    </w:p>
    <w:p>
      <w:pPr>
        <w:pStyle w:val="5"/>
        <w:overflowPunct w:val="0"/>
        <w:spacing w:line="440" w:lineRule="exact"/>
        <w:rPr>
          <w:rFonts w:hAnsi="宋体" w:cs="宋体"/>
          <w:sz w:val="21"/>
          <w:szCs w:val="21"/>
          <w:highlight w:val="none"/>
        </w:rPr>
      </w:pPr>
      <w:r>
        <w:rPr>
          <w:rFonts w:hint="eastAsia" w:hAnsi="宋体" w:cs="宋体"/>
          <w:sz w:val="21"/>
          <w:szCs w:val="21"/>
          <w:highlight w:val="none"/>
        </w:rPr>
        <w:t>26.2成交供应商应按成交通知书指定的时间、地点派代表前来与采购人具体商谈签订合同。谈判文件、成交供应商的响应文件及谈判过程中有关澄清、承诺文件均应作为合同附件。</w:t>
      </w:r>
    </w:p>
    <w:p>
      <w:pPr>
        <w:spacing w:line="440" w:lineRule="exact"/>
        <w:ind w:firstLine="420" w:firstLineChars="200"/>
        <w:rPr>
          <w:rFonts w:ascii="宋体" w:hAnsi="宋体" w:cs="宋体"/>
          <w:b/>
          <w:szCs w:val="21"/>
          <w:highlight w:val="none"/>
        </w:rPr>
      </w:pPr>
      <w:r>
        <w:rPr>
          <w:rFonts w:hint="eastAsia" w:ascii="宋体" w:hAnsi="宋体" w:cs="宋体"/>
          <w:szCs w:val="21"/>
          <w:highlight w:val="none"/>
        </w:rPr>
        <w:t>26.3成交供应商未按期签订采购合同的，采购人可以与排位在成交供应商之后第一位的成交候选人签订采购合同或重新委托进行招标。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26.4成交供应商因不可抗力导致无法按期签订采购合同的，应当在不可抗力发生之日起5日内提出，并提供书面证据，采购人及成交供应商互不承担任何责任及损失。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26.5成交供应商无正当理由未按期签订采购合同的，视为自动放弃成交资格，并承担违约责任。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26.6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pStyle w:val="25"/>
        <w:spacing w:line="440" w:lineRule="exact"/>
        <w:rPr>
          <w:rFonts w:ascii="宋体" w:hAnsi="宋体" w:cs="宋体"/>
          <w:szCs w:val="21"/>
          <w:highlight w:val="none"/>
        </w:rPr>
      </w:pPr>
      <w:r>
        <w:rPr>
          <w:rFonts w:hint="eastAsia" w:ascii="宋体" w:hAnsi="宋体" w:cs="宋体"/>
          <w:szCs w:val="21"/>
          <w:highlight w:val="none"/>
        </w:rPr>
        <w:t>26.7成交供应商与采购人签订采购合同之日起，</w:t>
      </w:r>
      <w:r>
        <w:rPr>
          <w:rFonts w:hint="eastAsia" w:ascii="宋体" w:hAnsi="宋体" w:cs="宋体"/>
          <w:b/>
          <w:bCs/>
          <w:szCs w:val="21"/>
          <w:highlight w:val="none"/>
        </w:rPr>
        <w:t>七个工作日</w:t>
      </w:r>
      <w:r>
        <w:rPr>
          <w:rFonts w:hint="eastAsia" w:ascii="宋体" w:hAnsi="宋体" w:cs="宋体"/>
          <w:szCs w:val="21"/>
          <w:highlight w:val="none"/>
        </w:rPr>
        <w:t>内将合同送代理机构对相关合同信息确认后，进行合同见证盖章。</w:t>
      </w:r>
    </w:p>
    <w:p>
      <w:pPr>
        <w:spacing w:line="440" w:lineRule="exact"/>
        <w:rPr>
          <w:rFonts w:ascii="宋体" w:hAnsi="宋体" w:cs="宋体"/>
          <w:b/>
          <w:szCs w:val="21"/>
          <w:highlight w:val="none"/>
        </w:rPr>
      </w:pPr>
      <w:r>
        <w:rPr>
          <w:rFonts w:hint="eastAsia" w:ascii="宋体" w:hAnsi="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 已经签约的，所签订的合同无效，同时代理机构不承担任何责任。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27.1采取不正当手段诋毁、排挤或串通他人的；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27.2有吵闹、起哄、斗殴等行为，扰乱招投标现场、评审或办公秩序的；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27.3中标（成交）后，无正当理由拒不签订合同或者合同签订后未能履行又不按约赔偿的；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27.4中标（成交）后，不缴付履约保证金或服务费的；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27.5提出不当要求，进行恶意敲诈的；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27.6提供虚假材料谋取中标（成交）的；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27.7提供虚假材料或者未按规定程序进行质疑、投诉、诉讼，影响项目正常进行的；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27.8向代理机构工作人员行贿或提供其他不正当利益的。</w:t>
      </w:r>
    </w:p>
    <w:p>
      <w:pPr>
        <w:spacing w:line="440" w:lineRule="exact"/>
        <w:rPr>
          <w:rFonts w:ascii="宋体" w:hAnsi="宋体" w:cs="宋体"/>
          <w:b/>
          <w:szCs w:val="21"/>
          <w:highlight w:val="none"/>
        </w:rPr>
      </w:pPr>
      <w:r>
        <w:rPr>
          <w:rFonts w:hint="eastAsia" w:ascii="宋体" w:hAnsi="宋体" w:cs="宋体"/>
          <w:b/>
          <w:szCs w:val="21"/>
          <w:highlight w:val="none"/>
        </w:rPr>
        <w:t>28.成交供应商违反第27条规定，并且导致中标无效的，采购人可以与排位在成交供应商之后第一位的中标候选人签订施工合同或重新委托进行招标， 原成交供应商应承担相应损失（包括但不限于以下损失）：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28.1原招标活动产生的合理费用；</w:t>
      </w:r>
    </w:p>
    <w:p>
      <w:pPr>
        <w:spacing w:line="440" w:lineRule="exact"/>
        <w:ind w:firstLine="420" w:firstLineChars="200"/>
        <w:rPr>
          <w:rFonts w:ascii="宋体" w:hAnsi="宋体" w:cs="宋体"/>
          <w:b/>
          <w:sz w:val="30"/>
          <w:szCs w:val="30"/>
          <w:highlight w:val="none"/>
        </w:rPr>
      </w:pPr>
      <w:r>
        <w:rPr>
          <w:rFonts w:hint="eastAsia" w:ascii="宋体" w:hAnsi="宋体" w:cs="宋体"/>
          <w:szCs w:val="21"/>
          <w:highlight w:val="none"/>
        </w:rPr>
        <w:t>28.2其他相关合理费用。</w:t>
      </w:r>
    </w:p>
    <w:p>
      <w:pPr>
        <w:spacing w:line="440" w:lineRule="exact"/>
        <w:rPr>
          <w:rFonts w:ascii="宋体" w:hAnsi="宋体" w:cs="宋体"/>
          <w:b/>
          <w:szCs w:val="21"/>
          <w:highlight w:val="none"/>
        </w:rPr>
      </w:pPr>
      <w:r>
        <w:rPr>
          <w:rFonts w:hint="eastAsia" w:ascii="宋体" w:hAnsi="宋体" w:cs="宋体"/>
          <w:b/>
          <w:szCs w:val="21"/>
          <w:highlight w:val="none"/>
        </w:rPr>
        <w:t>29、其他说明</w:t>
      </w:r>
    </w:p>
    <w:p>
      <w:pPr>
        <w:spacing w:line="440" w:lineRule="exact"/>
        <w:ind w:firstLine="420" w:firstLineChars="200"/>
        <w:rPr>
          <w:rFonts w:ascii="宋体" w:hAnsi="宋体" w:cs="宋体"/>
          <w:szCs w:val="21"/>
          <w:highlight w:val="none"/>
        </w:rPr>
        <w:sectPr>
          <w:pgSz w:w="11906" w:h="16838"/>
          <w:pgMar w:top="1361" w:right="1474" w:bottom="1361" w:left="1758" w:header="850" w:footer="992" w:gutter="0"/>
          <w:pgNumType w:chapStyle="1"/>
          <w:cols w:space="720" w:num="1"/>
          <w:docGrid w:type="lines" w:linePitch="312" w:charSpace="0"/>
        </w:sectPr>
      </w:pPr>
      <w:r>
        <w:rPr>
          <w:rFonts w:hint="eastAsia" w:ascii="宋体" w:hAnsi="宋体" w:cs="宋体"/>
          <w:szCs w:val="21"/>
          <w:highlight w:val="none"/>
        </w:rPr>
        <w:t>29.1整个采购过程中（包括但不限于中标公示期、合同签订等）成交供应商必须无条件配合采购人按要求提供相关文件资料，逾期不提供或拒不提供均视同成交供应商自愿放弃中标权利。</w:t>
      </w:r>
    </w:p>
    <w:p>
      <w:pPr>
        <w:jc w:val="center"/>
        <w:rPr>
          <w:rFonts w:ascii="宋体" w:hAnsi="宋体" w:cs="宋体"/>
          <w:b/>
          <w:sz w:val="30"/>
          <w:szCs w:val="30"/>
          <w:highlight w:val="none"/>
        </w:rPr>
      </w:pPr>
      <w:bookmarkStart w:id="2" w:name="_Toc5316"/>
      <w:bookmarkStart w:id="3" w:name="_Toc18641"/>
      <w:r>
        <w:rPr>
          <w:rFonts w:hint="eastAsia" w:ascii="宋体" w:hAnsi="宋体" w:cs="宋体"/>
          <w:b/>
          <w:sz w:val="30"/>
          <w:szCs w:val="30"/>
          <w:highlight w:val="none"/>
        </w:rPr>
        <w:t>第二章  响应文件的组成</w:t>
      </w:r>
      <w:bookmarkEnd w:id="2"/>
    </w:p>
    <w:p>
      <w:pPr>
        <w:spacing w:line="360" w:lineRule="exact"/>
        <w:rPr>
          <w:rFonts w:ascii="宋体" w:hAnsi="宋体" w:cs="宋体"/>
          <w:b/>
          <w:szCs w:val="21"/>
          <w:highlight w:val="none"/>
        </w:rPr>
      </w:pPr>
      <w:r>
        <w:rPr>
          <w:rFonts w:hint="eastAsia" w:ascii="宋体" w:hAnsi="宋体" w:cs="宋体"/>
          <w:b/>
          <w:szCs w:val="21"/>
          <w:highlight w:val="none"/>
        </w:rPr>
        <w:t>一、资格证明材料，复印件须加盖公章，若复印件未加盖公章，视为未提供该项材料。</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*1、响应函；</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*2、法定代表人资格证明书；</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*3、授权委托书（如果有授权委托情况的，必须提供）；</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*4、有效的法人或者其他组织的营业执照等证明文件复印件；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*5、有效的企业资质证书复印件；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*6、有效的安全生产许可证复印件；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*7、有效的项目经理建造师注册证书复印件；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*8、有效的项目经理建造师安全生产考核合格证书复印件；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*9、供应商为项目经理缴纳的近三个月（自开标之日起往前推算）中的任意一个月社保证明材料；</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*10、联合体协议原件</w:t>
      </w:r>
      <w:r>
        <w:rPr>
          <w:rFonts w:hint="eastAsia" w:ascii="宋体" w:hAnsi="宋体" w:cs="宋体"/>
          <w:b/>
          <w:bCs/>
          <w:szCs w:val="21"/>
          <w:highlight w:val="none"/>
        </w:rPr>
        <w:t>（如为联合体形式参与投标，必须提供并具备相关材料联合体各方企业营业执照副本；联合体各方资质证书）</w:t>
      </w:r>
      <w:r>
        <w:rPr>
          <w:rFonts w:hint="eastAsia" w:ascii="宋体" w:hAnsi="宋体" w:cs="宋体"/>
          <w:szCs w:val="21"/>
          <w:highlight w:val="none"/>
        </w:rPr>
        <w:t>；</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*11、现场踏勘承诺书原件</w:t>
      </w:r>
      <w:r>
        <w:rPr>
          <w:rFonts w:hint="eastAsia" w:ascii="宋体" w:hAnsi="宋体" w:cs="宋体"/>
          <w:b/>
          <w:bCs/>
          <w:szCs w:val="21"/>
          <w:highlight w:val="none"/>
        </w:rPr>
        <w:t>（如为联合体，则联合体主办方提供）</w:t>
      </w:r>
      <w:r>
        <w:rPr>
          <w:rFonts w:hint="eastAsia" w:ascii="宋体" w:hAnsi="宋体" w:cs="宋体"/>
          <w:szCs w:val="21"/>
          <w:highlight w:val="none"/>
        </w:rPr>
        <w:t>；</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12、供应商近三年（从招标公告发布之日向前推算，以合同签订时间为准）具有类似业绩复印件，同时提供对应合同的验收记录复印件及与合同项目对应的付款发票复印件(发票备注栏备注项目名称，或提供付款凭证)；</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*13、承诺函；</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*14、谈判保证金单据；</w:t>
      </w:r>
    </w:p>
    <w:p>
      <w:pPr>
        <w:spacing w:line="360" w:lineRule="exact"/>
        <w:rPr>
          <w:rFonts w:ascii="宋体" w:hAnsi="宋体" w:cs="宋体"/>
          <w:b/>
          <w:bCs/>
          <w:szCs w:val="21"/>
          <w:highlight w:val="none"/>
        </w:rPr>
      </w:pPr>
      <w:r>
        <w:rPr>
          <w:rFonts w:hint="eastAsia" w:ascii="宋体" w:hAnsi="宋体" w:cs="宋体"/>
          <w:b/>
          <w:bCs/>
          <w:szCs w:val="21"/>
          <w:highlight w:val="none"/>
        </w:rPr>
        <w:t>二、价格及有关商务部分材料</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*1、报价一览表；</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*2、谈判总价；</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*3、工程量清单报价表。</w:t>
      </w:r>
    </w:p>
    <w:p>
      <w:pPr>
        <w:spacing w:line="360" w:lineRule="exact"/>
        <w:rPr>
          <w:rFonts w:ascii="宋体" w:hAnsi="宋体" w:cs="宋体"/>
          <w:b/>
          <w:bCs/>
          <w:szCs w:val="21"/>
          <w:highlight w:val="none"/>
        </w:rPr>
      </w:pPr>
      <w:r>
        <w:rPr>
          <w:rFonts w:hint="eastAsia" w:ascii="宋体" w:hAnsi="宋体" w:cs="宋体"/>
          <w:b/>
          <w:bCs/>
          <w:szCs w:val="21"/>
          <w:highlight w:val="none"/>
        </w:rPr>
        <w:t>三、技术部分材料</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1、类似项目业绩；</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、质量保证、服务承诺；</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、偏离表；</w:t>
      </w:r>
    </w:p>
    <w:p>
      <w:pPr>
        <w:spacing w:line="360" w:lineRule="exact"/>
        <w:ind w:firstLine="420" w:firstLineChars="20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、对本次谈判其他方面的详细说明(供应商视需要自行编写)。</w:t>
      </w:r>
    </w:p>
    <w:p>
      <w:pPr>
        <w:spacing w:line="360" w:lineRule="exact"/>
        <w:rPr>
          <w:rFonts w:ascii="宋体" w:hAnsi="宋体" w:cs="宋体"/>
          <w:b/>
          <w:bCs/>
          <w:szCs w:val="21"/>
          <w:highlight w:val="none"/>
        </w:rPr>
      </w:pPr>
      <w:r>
        <w:rPr>
          <w:rFonts w:hint="eastAsia" w:ascii="宋体" w:hAnsi="宋体" w:cs="宋体"/>
          <w:b/>
          <w:bCs/>
          <w:szCs w:val="21"/>
          <w:highlight w:val="none"/>
        </w:rPr>
        <w:t>四、说明</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1、上述带“*”条款供应商必须在响应文件中提供，否则将作为无效响应处理。</w:t>
      </w:r>
      <w:r>
        <w:rPr>
          <w:rFonts w:hint="eastAsia" w:ascii="宋体" w:hAnsi="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2、对本章所有的格式，投标单位可根据自身情况进行补充和修改，但补充和修改不得造成与谈判文件内容有实质性的违背。投标单位可提供其它相关的证明材料（不限于此）。</w:t>
      </w:r>
    </w:p>
    <w:p>
      <w:pPr>
        <w:spacing w:line="360" w:lineRule="exact"/>
        <w:ind w:firstLine="422" w:firstLineChars="200"/>
        <w:rPr>
          <w:rFonts w:ascii="宋体" w:hAnsi="宋体" w:cs="宋体"/>
          <w:b/>
          <w:sz w:val="30"/>
          <w:szCs w:val="30"/>
          <w:highlight w:val="none"/>
        </w:rPr>
      </w:pPr>
      <w:r>
        <w:rPr>
          <w:rFonts w:hint="eastAsia" w:ascii="宋体" w:hAnsi="宋体" w:cs="宋体"/>
          <w:b/>
          <w:bCs/>
          <w:szCs w:val="21"/>
          <w:highlight w:val="none"/>
        </w:rPr>
        <w:t>3、所有复印件须保证清晰，如因清晰度不够引起的一切后果均由供应商自行承担。</w:t>
      </w:r>
    </w:p>
    <w:p>
      <w:pPr>
        <w:spacing w:line="360" w:lineRule="exact"/>
        <w:ind w:firstLine="422" w:firstLineChars="200"/>
        <w:rPr>
          <w:rFonts w:ascii="宋体" w:hAnsi="宋体" w:cs="宋体"/>
          <w:b/>
          <w:bCs/>
          <w:color w:val="FF0000"/>
          <w:szCs w:val="21"/>
          <w:highlight w:val="none"/>
        </w:rPr>
      </w:pPr>
      <w:r>
        <w:rPr>
          <w:rFonts w:hint="eastAsia" w:ascii="宋体" w:hAnsi="宋体" w:cs="宋体"/>
          <w:b/>
          <w:bCs/>
          <w:color w:val="FF0000"/>
          <w:szCs w:val="21"/>
          <w:highlight w:val="none"/>
        </w:rPr>
        <w:t>4、响应文件页码样式必须按照“第1页 共X页”且连续不得中断。</w:t>
      </w:r>
    </w:p>
    <w:p>
      <w:pPr>
        <w:spacing w:line="360" w:lineRule="exact"/>
        <w:jc w:val="center"/>
        <w:rPr>
          <w:rFonts w:ascii="宋体" w:hAnsi="宋体" w:cs="宋体"/>
          <w:b/>
          <w:sz w:val="30"/>
          <w:szCs w:val="30"/>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p>
    <w:p>
      <w:pPr>
        <w:spacing w:line="360" w:lineRule="exact"/>
        <w:jc w:val="center"/>
        <w:rPr>
          <w:rFonts w:ascii="宋体" w:hAnsi="宋体" w:cs="宋体"/>
          <w:b/>
          <w:sz w:val="30"/>
          <w:szCs w:val="30"/>
          <w:highlight w:val="none"/>
        </w:rPr>
      </w:pPr>
      <w:r>
        <w:rPr>
          <w:rFonts w:hint="eastAsia" w:ascii="宋体" w:hAnsi="宋体" w:cs="宋体"/>
          <w:b/>
          <w:sz w:val="30"/>
          <w:szCs w:val="30"/>
          <w:highlight w:val="none"/>
        </w:rPr>
        <w:t>第三章  谈判内容及技术要求</w:t>
      </w:r>
      <w:bookmarkEnd w:id="3"/>
    </w:p>
    <w:p>
      <w:pPr>
        <w:spacing w:line="400" w:lineRule="exact"/>
        <w:outlineLvl w:val="1"/>
        <w:rPr>
          <w:rFonts w:ascii="宋体" w:hAnsi="宋体" w:cs="宋体"/>
          <w:b/>
          <w:bCs/>
          <w:szCs w:val="21"/>
          <w:highlight w:val="none"/>
        </w:rPr>
      </w:pPr>
      <w:bookmarkStart w:id="4" w:name="OLE_LINK2"/>
      <w:r>
        <w:rPr>
          <w:rFonts w:hint="eastAsia" w:ascii="宋体" w:hAnsi="宋体" w:cs="宋体"/>
          <w:b/>
          <w:bCs/>
          <w:szCs w:val="21"/>
          <w:highlight w:val="none"/>
        </w:rPr>
        <w:t>一、项目概况</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本项为怀普路（新普路-怀德中路）交通工程。包括但不限于谈判文件及其基本技术要求范围内相应工程开工前的准备（包括现场踏勘、技术核对等）、技术资料、施工、技术服务、主管单位验收、质保期及维保服务和谈判文件所要求的相关工程等全部内容。</w:t>
      </w:r>
    </w:p>
    <w:bookmarkEnd w:id="4"/>
    <w:p>
      <w:pPr>
        <w:spacing w:line="400" w:lineRule="exact"/>
        <w:jc w:val="left"/>
        <w:rPr>
          <w:rFonts w:ascii="宋体" w:hAnsi="宋体" w:cs="宋体"/>
          <w:szCs w:val="21"/>
          <w:highlight w:val="none"/>
        </w:rPr>
      </w:pPr>
      <w:bookmarkStart w:id="5" w:name="_Toc545"/>
      <w:r>
        <w:rPr>
          <w:rFonts w:hint="eastAsia" w:ascii="宋体" w:hAnsi="宋体" w:cs="宋体"/>
          <w:b/>
          <w:bCs/>
          <w:szCs w:val="21"/>
          <w:highlight w:val="none"/>
        </w:rPr>
        <w:t>二、项目要求</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1、项目地点：钟楼区南大街街道区域内。</w:t>
      </w:r>
    </w:p>
    <w:p>
      <w:pPr>
        <w:spacing w:line="400" w:lineRule="exact"/>
        <w:ind w:firstLine="420" w:firstLineChars="200"/>
        <w:rPr>
          <w:rFonts w:ascii="宋体" w:hAnsi="宋体" w:cs="宋体"/>
          <w:b/>
          <w:bCs/>
          <w:szCs w:val="21"/>
          <w:highlight w:val="none"/>
        </w:rPr>
      </w:pPr>
      <w:r>
        <w:rPr>
          <w:rFonts w:hint="eastAsia" w:ascii="宋体" w:hAnsi="宋体" w:cs="宋体"/>
          <w:szCs w:val="21"/>
          <w:highlight w:val="none"/>
        </w:rPr>
        <w:t>2、合同履行期限：</w:t>
      </w:r>
      <w:r>
        <w:rPr>
          <w:rFonts w:hint="eastAsia" w:ascii="宋体" w:hAnsi="宋体" w:cs="宋体"/>
          <w:color w:val="000000"/>
          <w:szCs w:val="21"/>
          <w:highlight w:val="none"/>
        </w:rPr>
        <w:t>收到采购人发出的书面开工后3日内开工，并在30个日历日内完工。</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3、承包方式：包工包料。</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4、保修期：</w:t>
      </w:r>
      <w:r>
        <w:rPr>
          <w:rFonts w:hint="eastAsia" w:ascii="宋体" w:hAnsi="宋体" w:cs="宋体"/>
          <w:szCs w:val="21"/>
          <w:highlight w:val="none"/>
        </w:rPr>
        <w:t>验收合格之日起贰年。</w:t>
      </w:r>
    </w:p>
    <w:p>
      <w:pPr>
        <w:spacing w:line="400" w:lineRule="exact"/>
        <w:rPr>
          <w:rFonts w:ascii="宋体" w:hAnsi="宋体" w:cs="宋体"/>
          <w:b/>
          <w:bCs/>
          <w:color w:val="000000"/>
          <w:kern w:val="0"/>
          <w:szCs w:val="21"/>
          <w:highlight w:val="none"/>
        </w:rPr>
      </w:pPr>
      <w:r>
        <w:rPr>
          <w:rFonts w:hint="eastAsia"/>
          <w:b/>
          <w:bCs/>
          <w:szCs w:val="21"/>
          <w:highlight w:val="none"/>
        </w:rPr>
        <w:t>二、</w:t>
      </w:r>
      <w:r>
        <w:rPr>
          <w:rFonts w:hint="eastAsia" w:ascii="宋体" w:hAnsi="宋体" w:cs="宋体"/>
          <w:b/>
          <w:bCs/>
          <w:color w:val="000000"/>
          <w:kern w:val="0"/>
          <w:szCs w:val="21"/>
          <w:highlight w:val="none"/>
        </w:rPr>
        <w:t>质量要求</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1、工程质量标准：符合中华人民共和国《建筑工程施工质量验收统一标准》等建筑工程施工质量验收规范的合格标准。</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2、工程规范以现行的施工项目任务期间国家和行业新颁布施行的规范、规程为准。</w:t>
      </w:r>
    </w:p>
    <w:p>
      <w:pPr>
        <w:spacing w:line="400" w:lineRule="exact"/>
        <w:rPr>
          <w:rFonts w:ascii="宋体" w:hAnsi="宋体" w:cs="宋体"/>
          <w:b/>
          <w:bCs/>
          <w:color w:val="000000"/>
          <w:kern w:val="0"/>
          <w:szCs w:val="21"/>
          <w:highlight w:val="none"/>
        </w:rPr>
      </w:pPr>
      <w:r>
        <w:rPr>
          <w:rFonts w:hint="eastAsia" w:ascii="宋体" w:hAnsi="宋体" w:cs="宋体"/>
          <w:b/>
          <w:bCs/>
          <w:color w:val="000000"/>
          <w:kern w:val="0"/>
          <w:szCs w:val="21"/>
          <w:highlight w:val="none"/>
        </w:rPr>
        <w:t>三、付款方式</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1、工程完成至合同工程量50%后，经审定后付至合同价（扣除暂列金额及其规费税金）的30%；</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2、工程完工并经验收合格后支付至核定产值的80%；累计不超过合同总价（扣除暂列金及其规费税金）的80%</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3、工程竣工验收合格，结算经审定后付至审定总价的97%；（若项目需国家政府相关部门审计的，则审定价最终以国家政府相关部门审定为准）</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4、3%保修金在保修期（工程竣工验收后两年）结束后一周内无息返还；</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5、成交供应商在申报工程款时应提供合规的增值税专用发票；</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6、以上工程进度款已包含农民工工资支付。</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本工程农民工专项资金拨付根据国务院令第724号《保障农民工工资支付条例》、常住建规【2020】3号《常州市建筑工人实名制管理和工资支付保障实施办法（试行）》、常住建【2021】50 号《关于进一步明确常州市市政基础设施工程建筑工人实名制管理和工资支付保障相关要求的通知》、常人社发（2022）53 号关于印发《常州市工程建设领域农民工工资保证金管理细则》的通知文件要求执行。</w:t>
      </w:r>
    </w:p>
    <w:p>
      <w:pPr>
        <w:spacing w:line="400" w:lineRule="exact"/>
        <w:jc w:val="left"/>
        <w:rPr>
          <w:rFonts w:ascii="宋体" w:hAnsi="宋体"/>
          <w:kern w:val="0"/>
          <w:szCs w:val="21"/>
          <w:highlight w:val="none"/>
        </w:rPr>
      </w:pPr>
      <w:r>
        <w:rPr>
          <w:rFonts w:hint="eastAsia" w:ascii="宋体" w:hAnsi="宋体"/>
          <w:b/>
          <w:kern w:val="0"/>
          <w:szCs w:val="21"/>
          <w:highlight w:val="none"/>
        </w:rPr>
        <w:t>五、工程量清单</w:t>
      </w:r>
      <w:r>
        <w:rPr>
          <w:rFonts w:hint="eastAsia" w:ascii="宋体" w:hAnsi="宋体"/>
          <w:kern w:val="0"/>
          <w:szCs w:val="21"/>
          <w:highlight w:val="none"/>
        </w:rPr>
        <w:t>：详见附件。</w:t>
      </w:r>
    </w:p>
    <w:p>
      <w:pPr>
        <w:pStyle w:val="14"/>
        <w:spacing w:line="400" w:lineRule="exact"/>
        <w:rPr>
          <w:b/>
          <w:kern w:val="0"/>
          <w:sz w:val="21"/>
          <w:szCs w:val="21"/>
          <w:highlight w:val="none"/>
        </w:rPr>
      </w:pPr>
      <w:r>
        <w:rPr>
          <w:rFonts w:hint="eastAsia"/>
          <w:b/>
          <w:kern w:val="0"/>
          <w:sz w:val="21"/>
          <w:szCs w:val="21"/>
          <w:highlight w:val="none"/>
        </w:rPr>
        <w:t>六、清单编制说明</w:t>
      </w:r>
    </w:p>
    <w:p>
      <w:pPr>
        <w:pStyle w:val="5"/>
        <w:spacing w:line="400" w:lineRule="exact"/>
        <w:ind w:firstLine="422" w:firstLineChars="200"/>
        <w:rPr>
          <w:rFonts w:hAnsi="宋体" w:cs="宋体"/>
          <w:b/>
          <w:sz w:val="21"/>
          <w:highlight w:val="none"/>
        </w:rPr>
      </w:pPr>
      <w:r>
        <w:rPr>
          <w:rFonts w:hint="eastAsia" w:hAnsi="宋体" w:cs="宋体"/>
          <w:b/>
          <w:sz w:val="21"/>
          <w:highlight w:val="none"/>
        </w:rPr>
        <w:t>（一）工程概况</w:t>
      </w:r>
    </w:p>
    <w:p>
      <w:pPr>
        <w:pStyle w:val="5"/>
        <w:spacing w:line="400" w:lineRule="exact"/>
        <w:ind w:firstLineChars="200"/>
        <w:rPr>
          <w:rFonts w:hAnsi="宋体" w:cs="宋体"/>
          <w:bCs/>
          <w:sz w:val="21"/>
          <w:highlight w:val="none"/>
        </w:rPr>
      </w:pPr>
      <w:r>
        <w:rPr>
          <w:rFonts w:hint="eastAsia" w:hAnsi="宋体" w:cs="宋体"/>
          <w:bCs/>
          <w:sz w:val="21"/>
          <w:highlight w:val="none"/>
        </w:rPr>
        <w:t>怀普路（新普路-怀德中路）交通工程位于钟楼区南大街街道区域内。共包含怀普路一条道路。怀普路（新普路-怀德中路）为城市支路，道路北起新普路，南至怀德中路，全长约225米，一般路段红线宽度12米，一般路段标准断面形式为：2m人行道+8米车行道+2m人行道，总宽12m，双向两车道。</w:t>
      </w:r>
    </w:p>
    <w:p>
      <w:pPr>
        <w:pStyle w:val="5"/>
        <w:spacing w:line="400" w:lineRule="exact"/>
        <w:ind w:firstLineChars="200"/>
        <w:rPr>
          <w:rFonts w:hAnsi="宋体" w:cs="宋体"/>
          <w:bCs/>
          <w:sz w:val="21"/>
          <w:highlight w:val="none"/>
        </w:rPr>
      </w:pPr>
      <w:r>
        <w:rPr>
          <w:rFonts w:hint="eastAsia" w:hAnsi="宋体" w:cs="宋体"/>
          <w:bCs/>
          <w:sz w:val="21"/>
          <w:highlight w:val="none"/>
        </w:rPr>
        <w:t>本次工程招标内容包括：交通设施中的标志、标线、监控。</w:t>
      </w:r>
    </w:p>
    <w:p>
      <w:pPr>
        <w:pStyle w:val="5"/>
        <w:spacing w:line="400" w:lineRule="exact"/>
        <w:ind w:firstLine="422" w:firstLineChars="200"/>
        <w:rPr>
          <w:rFonts w:hAnsi="宋体" w:cs="宋体"/>
          <w:highlight w:val="none"/>
        </w:rPr>
      </w:pPr>
      <w:r>
        <w:rPr>
          <w:rFonts w:hint="eastAsia" w:hAnsi="宋体" w:cs="宋体"/>
          <w:b/>
          <w:sz w:val="21"/>
          <w:highlight w:val="none"/>
        </w:rPr>
        <w:t>（二）编制依据</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1、《建设工程工程量清单计价规范》（GB50500-2013）、《市政工程工程量清单计价规范》(GB50857－2013)、《江苏省市政工程计价定额》（2014年）、《江苏省安装工程计价定额》（2014年）、《江苏省建设工程费用定额》（2014年）；</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2、常建（2016）94号文件【关于转发《省住房城乡建设厅关于建筑业实施营改增后江苏省建设工程计价依据调整的通知》的通知】；</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3、苏建价（2016）154号文【省住房城乡建设厅关于建筑业实施营改增后江苏省建设工程计价依据调整的通知】；</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4、常建(2018)第24号【关于调整建设工程按质论价等费用计取的公告】；</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5、常建(2018)197号【关于进一步落实我市建筑施工扬尘防治要求的若干意见】；</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6、常建(2019)1号关于贯彻【省住房城乡建设厅关于调整建设工程按质论价等费用计取方法的公告】的通知等规范、文件和要求；</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7、现场勘查结果。</w:t>
      </w:r>
    </w:p>
    <w:p>
      <w:pPr>
        <w:pStyle w:val="14"/>
        <w:spacing w:line="400" w:lineRule="exact"/>
        <w:ind w:firstLine="422" w:firstLineChars="200"/>
        <w:rPr>
          <w:rFonts w:cs="宋体"/>
          <w:kern w:val="0"/>
          <w:highlight w:val="none"/>
        </w:rPr>
      </w:pPr>
      <w:r>
        <w:rPr>
          <w:rFonts w:hint="eastAsia" w:cs="宋体"/>
          <w:b/>
          <w:kern w:val="0"/>
          <w:sz w:val="21"/>
          <w:highlight w:val="none"/>
        </w:rPr>
        <w:t>（三）编制说明</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1、标志牌基坑土方的挖、填、余土外弃的工程量，以及因工作面和放坡增加的工程量，在标志牌基础混凝土单价中综合考虑。</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2、所有现浇砼均采用商品砼，凡是混凝土中没有描述到钢筋的，均不含钢筋。所有现浇砼的模板费用均包含在相应的综合单价中。</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3、本工程无甲供材。</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4、规费、税金、总价措施项目费中的现场安全文明施工费（含基本费，扬尘污染防治增加费）为不可竞争费，投标报价时按清单表中的费率计取，不得调整。</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rPr>
        <w:t>材料价格依据2024年</w:t>
      </w:r>
      <w:r>
        <w:rPr>
          <w:rFonts w:ascii="宋体" w:hAnsi="宋体" w:cs="宋体"/>
          <w:kern w:val="0"/>
          <w:highlight w:val="none"/>
        </w:rPr>
        <w:t>6</w:t>
      </w:r>
      <w:r>
        <w:rPr>
          <w:rFonts w:hint="eastAsia" w:ascii="宋体" w:hAnsi="宋体" w:cs="宋体"/>
          <w:kern w:val="0"/>
          <w:highlight w:val="none"/>
        </w:rPr>
        <w:t>月份常州工程造价信息指导价（除税）计价，当月没有的逐月前推，信息价上没有的材料价格以市场询价结果计。</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6、人工费按苏建函价【2024】83号文。</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7、预留金在各单位工程中以分部分项工程费的10%计。</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8、工期、质量要求、工程按质论价等未尽事项详见谈判文件。</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9、谈判文件、有关技术文件、施工规范及工程量清单中的项目特征互为补充，均作为编制投标报价的依据。</w:t>
      </w:r>
    </w:p>
    <w:p>
      <w:pPr>
        <w:spacing w:line="400" w:lineRule="exact"/>
        <w:ind w:firstLine="420" w:firstLineChars="200"/>
        <w:rPr>
          <w:rFonts w:ascii="宋体" w:hAnsi="宋体" w:cs="宋体"/>
          <w:kern w:val="0"/>
          <w:highlight w:val="none"/>
        </w:rPr>
      </w:pPr>
      <w:r>
        <w:rPr>
          <w:rFonts w:hint="eastAsia" w:ascii="宋体" w:hAnsi="宋体" w:cs="宋体"/>
          <w:kern w:val="0"/>
          <w:highlight w:val="none"/>
        </w:rPr>
        <w:t>10、本工程施工所需水、接电或自行发电等由成交供应商负责，相关费用在谈判报价中考虑，施工过程中不另计量。</w:t>
      </w:r>
    </w:p>
    <w:p>
      <w:pPr>
        <w:spacing w:line="400" w:lineRule="exact"/>
        <w:ind w:firstLine="420" w:firstLineChars="200"/>
        <w:rPr>
          <w:rFonts w:ascii="宋体" w:hAnsi="宋体" w:cs="宋体"/>
          <w:kern w:val="0"/>
          <w:szCs w:val="22"/>
          <w:highlight w:val="none"/>
        </w:rPr>
      </w:pPr>
      <w:r>
        <w:rPr>
          <w:rFonts w:hint="eastAsia" w:ascii="宋体" w:hAnsi="宋体" w:cs="宋体"/>
          <w:kern w:val="0"/>
          <w:highlight w:val="none"/>
        </w:rPr>
        <w:t>11、其他未说明的，详见工程量清单。</w:t>
      </w:r>
    </w:p>
    <w:p>
      <w:pPr>
        <w:pStyle w:val="14"/>
        <w:spacing w:line="400" w:lineRule="exact"/>
        <w:ind w:firstLine="422" w:firstLineChars="200"/>
        <w:rPr>
          <w:rFonts w:cs="宋体"/>
          <w:b/>
          <w:kern w:val="0"/>
          <w:sz w:val="21"/>
          <w:highlight w:val="none"/>
        </w:rPr>
      </w:pPr>
      <w:r>
        <w:rPr>
          <w:rFonts w:hint="eastAsia" w:cs="宋体"/>
          <w:b/>
          <w:kern w:val="0"/>
          <w:sz w:val="21"/>
          <w:highlight w:val="none"/>
        </w:rPr>
        <w:t>（四）主要材料推荐品牌表</w:t>
      </w:r>
    </w:p>
    <w:tbl>
      <w:tblPr>
        <w:tblStyle w:val="26"/>
        <w:tblW w:w="81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3581"/>
        <w:gridCol w:w="3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40" w:type="dxa"/>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b/>
                <w:bCs/>
                <w:color w:val="000000"/>
                <w:kern w:val="0"/>
                <w:szCs w:val="21"/>
                <w:highlight w:val="none"/>
              </w:rPr>
              <w:t>序号</w:t>
            </w:r>
          </w:p>
        </w:tc>
        <w:tc>
          <w:tcPr>
            <w:tcW w:w="3581" w:type="dxa"/>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b/>
                <w:bCs/>
                <w:color w:val="000000"/>
                <w:kern w:val="0"/>
                <w:szCs w:val="21"/>
                <w:highlight w:val="none"/>
              </w:rPr>
              <w:t>设备名称及规格</w:t>
            </w:r>
          </w:p>
        </w:tc>
        <w:tc>
          <w:tcPr>
            <w:tcW w:w="3743" w:type="dxa"/>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b/>
                <w:bCs/>
                <w:color w:val="000000"/>
                <w:kern w:val="0"/>
                <w:szCs w:val="21"/>
                <w:highlight w:val="none"/>
              </w:rPr>
              <w:t>设备品牌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40" w:type="dxa"/>
            <w:vAlign w:val="center"/>
          </w:tcPr>
          <w:p>
            <w:pPr>
              <w:widowControl/>
              <w:spacing w:line="400" w:lineRule="exact"/>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581" w:type="dxa"/>
            <w:vAlign w:val="center"/>
          </w:tcPr>
          <w:p>
            <w:pPr>
              <w:widowControl/>
              <w:spacing w:line="400" w:lineRule="exact"/>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高清违停球机</w:t>
            </w:r>
          </w:p>
        </w:tc>
        <w:tc>
          <w:tcPr>
            <w:tcW w:w="3743" w:type="dxa"/>
            <w:vAlign w:val="center"/>
          </w:tcPr>
          <w:p>
            <w:pPr>
              <w:widowControl/>
              <w:spacing w:line="400" w:lineRule="exact"/>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大华、海康、华为</w:t>
            </w:r>
          </w:p>
        </w:tc>
      </w:tr>
    </w:tbl>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响应文件中提供材料（或设备）推荐品牌（或规格、型号、产地）的，供应商在推荐品牌（或规格、型号、产地）范围内自行选择并根据市场行情及自身实际情况进行组价、报价，同时“主要材料一览表”中应注明所选择的品牌（或规格、型号、产地），未在一览表中注明的，视为供应商同意由招标人选择相应品牌（或规格、型号、产地），但价格不予调整。</w:t>
      </w:r>
    </w:p>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供应商可以选择推荐品牌，也可以选择性能不低于推荐品牌性能的其他品牌，但应在使用前向采购人提交拟用品牌的型号、信誉度、质量、性能、技术指标等相关证明材料，经采购人认可后方可使用，没有得到采购人书面认可的自选品牌一律不予接受。</w:t>
      </w:r>
    </w:p>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3、因可选品牌之间客观存在的差异所引起的价格差异由供应商在投标报价时综合考虑，一旦中标，不得因此提出价格调整的要求。</w:t>
      </w:r>
    </w:p>
    <w:p>
      <w:pPr>
        <w:spacing w:line="400" w:lineRule="exact"/>
        <w:rPr>
          <w:rFonts w:ascii="宋体" w:hAnsi="宋体"/>
          <w:b/>
          <w:szCs w:val="21"/>
          <w:highlight w:val="none"/>
        </w:rPr>
      </w:pPr>
      <w:r>
        <w:rPr>
          <w:rFonts w:hint="eastAsia" w:ascii="宋体" w:hAnsi="宋体"/>
          <w:b/>
          <w:szCs w:val="21"/>
          <w:highlight w:val="none"/>
        </w:rPr>
        <w:t>七、重要说明</w:t>
      </w:r>
    </w:p>
    <w:p>
      <w:pPr>
        <w:pStyle w:val="25"/>
        <w:spacing w:line="400" w:lineRule="exact"/>
        <w:ind w:firstLine="422" w:firstLineChars="200"/>
        <w:rPr>
          <w:rFonts w:ascii="宋体" w:hAnsi="宋体" w:cs="宋体"/>
          <w:b/>
          <w:szCs w:val="21"/>
          <w:highlight w:val="none"/>
        </w:rPr>
      </w:pPr>
      <w:r>
        <w:rPr>
          <w:rFonts w:hint="eastAsia" w:ascii="宋体" w:hAnsi="宋体" w:cs="宋体"/>
          <w:b/>
          <w:szCs w:val="21"/>
          <w:highlight w:val="none"/>
        </w:rPr>
        <w:t>1、成交供应商必须为进场施工人员购买建筑工程团体意外险或针对该项目的个人人身意外伤害保险，如采购人核查后发现其未给施工人员购买的，则有权终止合同。</w:t>
      </w:r>
    </w:p>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清单项目特征描述不全者依据相关规范及按现场踏勘情况。除采购人定价的材料外其他所有材料均由供应商自行报价。工程量清单项目特征中没有体现的，施工中又必须发生的工程内容所需的费用供应商应考察现场实际情况计入谈判报价中；</w:t>
      </w:r>
    </w:p>
    <w:p>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供应商应自行踏勘现场，并充分考虑本工程的复杂性、所涉及的各项措施费及风险因素后再进行投标；进场前施工单位应与采购人项目经理对接后施工，不得盲目施工，造成不必要的损失；否则损失均由施工单位自行承担；</w:t>
      </w:r>
    </w:p>
    <w:p>
      <w:pPr>
        <w:spacing w:line="400" w:lineRule="exact"/>
        <w:ind w:firstLine="420" w:firstLineChars="200"/>
        <w:rPr>
          <w:rFonts w:ascii="宋体" w:hAnsi="宋体" w:cs="宋体"/>
          <w:b/>
          <w:bCs/>
          <w:color w:val="FF0000"/>
          <w:kern w:val="0"/>
          <w:szCs w:val="21"/>
          <w:highlight w:val="none"/>
        </w:rPr>
      </w:pPr>
      <w:r>
        <w:rPr>
          <w:rFonts w:hint="eastAsia" w:ascii="宋体" w:hAnsi="宋体" w:cs="宋体"/>
          <w:color w:val="FF0000"/>
          <w:szCs w:val="21"/>
          <w:highlight w:val="none"/>
        </w:rPr>
        <w:t>*</w:t>
      </w:r>
      <w:r>
        <w:rPr>
          <w:rFonts w:hint="eastAsia" w:ascii="宋体" w:hAnsi="宋体" w:cs="宋体"/>
          <w:b/>
          <w:bCs/>
          <w:color w:val="FF0000"/>
          <w:kern w:val="0"/>
          <w:szCs w:val="21"/>
          <w:highlight w:val="none"/>
        </w:rPr>
        <w:t>4、本项目拟选用的道路交通技术监控设备需经检定、认定(交通信号控制设备符合GB25280-2016规范标准，违停抓拍设备须符合GA/T1426、GB/T28181、GA/T832规范标准以及上述规范标准的更新版本)，并在检定、认定有效期内。</w:t>
      </w:r>
      <w:r>
        <w:rPr>
          <w:rFonts w:hint="eastAsia" w:ascii="宋体" w:hAnsi="宋体" w:cs="宋体"/>
          <w:b/>
          <w:bCs/>
          <w:color w:val="FF0000"/>
          <w:kern w:val="0"/>
          <w:szCs w:val="21"/>
          <w:highlight w:val="none"/>
        </w:rPr>
        <w:t>若供应商为成交供应商，须在开标结束后三个工作日内将投标产品的有效检测报告和以上产品的5年质保承诺书(格式自拟加盖成交供应商公章)交至常州市交通警察支队科技大队(和平路330号)</w:t>
      </w:r>
      <w:r>
        <w:rPr>
          <w:rFonts w:hint="eastAsia" w:ascii="宋体" w:hAnsi="宋体" w:cs="宋体"/>
          <w:b/>
          <w:bCs/>
          <w:color w:val="FF0000"/>
          <w:kern w:val="0"/>
          <w:szCs w:val="21"/>
          <w:highlight w:val="none"/>
        </w:rPr>
        <w:t>。如成交供应商未在开标结束后三个工作日内提供相关要求证明材料，则视为不响应谈判文件，</w:t>
      </w:r>
      <w:r>
        <w:rPr>
          <w:rFonts w:hint="eastAsia" w:ascii="宋体" w:hAnsi="宋体" w:cs="宋体"/>
          <w:b/>
          <w:bCs/>
          <w:color w:val="FF0000"/>
          <w:szCs w:val="21"/>
          <w:highlight w:val="none"/>
        </w:rPr>
        <w:t>采购人可以与排位在成交供应商之后第一位的成交候选人让其提供相关证明材料或重新委托进行招标</w:t>
      </w:r>
      <w:r>
        <w:rPr>
          <w:rFonts w:hint="eastAsia" w:ascii="宋体" w:hAnsi="宋体" w:cs="宋体"/>
          <w:b/>
          <w:bCs/>
          <w:color w:val="FF0000"/>
          <w:kern w:val="0"/>
          <w:szCs w:val="21"/>
          <w:highlight w:val="none"/>
        </w:rPr>
        <w:t>。</w:t>
      </w:r>
    </w:p>
    <w:p>
      <w:pPr>
        <w:spacing w:line="400" w:lineRule="exact"/>
        <w:ind w:firstLine="420" w:firstLineChars="200"/>
        <w:rPr>
          <w:rFonts w:ascii="宋体" w:hAnsi="宋体" w:cs="宋体"/>
          <w:b/>
          <w:bCs/>
          <w:color w:val="FF0000"/>
          <w:kern w:val="0"/>
          <w:szCs w:val="21"/>
          <w:highlight w:val="none"/>
        </w:rPr>
      </w:pPr>
      <w:r>
        <w:rPr>
          <w:rFonts w:hint="eastAsia" w:ascii="宋体" w:hAnsi="宋体" w:cs="宋体"/>
          <w:color w:val="FF0000"/>
          <w:szCs w:val="21"/>
          <w:highlight w:val="none"/>
        </w:rPr>
        <w:t>*</w:t>
      </w:r>
      <w:r>
        <w:rPr>
          <w:rFonts w:hint="eastAsia" w:ascii="宋体" w:hAnsi="宋体" w:cs="宋体"/>
          <w:b/>
          <w:bCs/>
          <w:color w:val="FF0000"/>
          <w:kern w:val="0"/>
          <w:szCs w:val="21"/>
          <w:highlight w:val="none"/>
        </w:rPr>
        <w:t>5、成交供应商须在开标结束后三个工作日内按照《现场踏勘承诺书》的承诺，提供科技设施点位的信息配置表、监控/抓拍区域照片(需清晰体现手持身份证的现场踏勘人员)，现场踏勘人员为本公司人员的证明材料(身份证、开标截止前三个月的社保记录)，至常州市交通警察支队科技大队(和平路330号)，如点位的信息配置表或监控/抓拍区域照片不全,或照片未清晰体现现场踏勘人员,或证明材料不能证明现场踏勘人员为本公司人员的则视为不响应谈判文件，</w:t>
      </w:r>
      <w:r>
        <w:rPr>
          <w:rFonts w:hint="eastAsia" w:ascii="宋体" w:hAnsi="宋体" w:cs="宋体"/>
          <w:b/>
          <w:bCs/>
          <w:color w:val="FF0000"/>
          <w:szCs w:val="21"/>
          <w:highlight w:val="none"/>
        </w:rPr>
        <w:t>采购人可以与排位在成交供应商之后第一位的成交候选人让其提供相关证明材料或重新委托进行招标</w:t>
      </w:r>
      <w:r>
        <w:rPr>
          <w:rFonts w:hint="eastAsia" w:ascii="宋体" w:hAnsi="宋体" w:cs="宋体"/>
          <w:b/>
          <w:bCs/>
          <w:color w:val="FF0000"/>
          <w:kern w:val="0"/>
          <w:szCs w:val="21"/>
          <w:highlight w:val="none"/>
        </w:rPr>
        <w:t>。</w:t>
      </w:r>
    </w:p>
    <w:p>
      <w:pPr>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6、成交供应商有义务配合采购人做好相关单位的协调工作。</w:t>
      </w:r>
    </w:p>
    <w:p>
      <w:pPr>
        <w:spacing w:line="360" w:lineRule="auto"/>
        <w:jc w:val="center"/>
        <w:rPr>
          <w:rFonts w:ascii="宋体" w:hAnsi="宋体" w:cs="宋体"/>
          <w:b/>
          <w:bCs/>
          <w:sz w:val="28"/>
          <w:szCs w:val="28"/>
          <w:highlight w:val="none"/>
        </w:rPr>
        <w:sectPr>
          <w:pgSz w:w="11907" w:h="16839"/>
          <w:pgMar w:top="1440" w:right="1800" w:bottom="1440" w:left="1800" w:header="851" w:footer="992" w:gutter="0"/>
          <w:pgNumType w:chapStyle="1"/>
          <w:cols w:space="720" w:num="1"/>
          <w:docGrid w:type="lines" w:linePitch="312" w:charSpace="0"/>
        </w:sect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第四章 合同主要条款（参考）</w:t>
      </w:r>
      <w:bookmarkEnd w:id="5"/>
    </w:p>
    <w:p>
      <w:pPr>
        <w:rPr>
          <w:rFonts w:ascii="宋体" w:hAnsi="宋体" w:cs="宋体"/>
          <w:highlight w:val="none"/>
        </w:rPr>
      </w:pPr>
      <w:bookmarkStart w:id="6" w:name="_Toc9865"/>
    </w:p>
    <w:p>
      <w:pPr>
        <w:rPr>
          <w:rFonts w:ascii="宋体" w:hAnsi="宋体" w:cs="宋体"/>
          <w:b/>
          <w:sz w:val="72"/>
          <w:szCs w:val="52"/>
          <w:highlight w:val="none"/>
        </w:rPr>
      </w:pPr>
    </w:p>
    <w:p>
      <w:pPr>
        <w:jc w:val="center"/>
        <w:rPr>
          <w:rFonts w:ascii="宋体" w:hAnsi="宋体" w:cs="宋体"/>
          <w:b/>
          <w:sz w:val="48"/>
          <w:szCs w:val="48"/>
          <w:highlight w:val="none"/>
        </w:rPr>
      </w:pPr>
      <w:r>
        <w:rPr>
          <w:rFonts w:hint="eastAsia" w:ascii="宋体" w:hAnsi="宋体" w:cs="宋体"/>
          <w:b/>
          <w:sz w:val="56"/>
          <w:szCs w:val="48"/>
          <w:highlight w:val="none"/>
        </w:rPr>
        <w:t>建设工程施工合同</w:t>
      </w:r>
      <w:r>
        <w:rPr>
          <w:rFonts w:hint="eastAsia" w:ascii="宋体" w:hAnsi="宋体" w:cs="宋体"/>
          <w:b/>
          <w:sz w:val="48"/>
          <w:szCs w:val="48"/>
          <w:highlight w:val="none"/>
        </w:rPr>
        <w:br w:type="textWrapping"/>
      </w:r>
      <w:r>
        <w:rPr>
          <w:rFonts w:hint="eastAsia" w:ascii="宋体" w:hAnsi="宋体" w:cs="宋体"/>
          <w:b/>
          <w:sz w:val="48"/>
          <w:szCs w:val="48"/>
          <w:highlight w:val="none"/>
        </w:rPr>
        <w:t>（示范文本）</w:t>
      </w:r>
    </w:p>
    <w:p>
      <w:pPr>
        <w:keepNext/>
        <w:keepLines/>
        <w:spacing w:before="240" w:after="60" w:line="360" w:lineRule="auto"/>
        <w:jc w:val="center"/>
        <w:outlineLvl w:val="2"/>
        <w:rPr>
          <w:rFonts w:ascii="宋体" w:hAnsi="宋体" w:cs="宋体"/>
          <w:bCs/>
          <w:kern w:val="0"/>
          <w:szCs w:val="21"/>
          <w:highlight w:val="none"/>
        </w:rPr>
      </w:pPr>
      <w:r>
        <w:rPr>
          <w:rFonts w:hint="eastAsia" w:ascii="宋体" w:hAnsi="宋体" w:cs="宋体"/>
          <w:bCs/>
          <w:szCs w:val="32"/>
          <w:highlight w:val="none"/>
        </w:rPr>
        <w:t>（GF—2017—0201）</w:t>
      </w:r>
      <w:r>
        <w:rPr>
          <w:rFonts w:hint="eastAsia" w:ascii="宋体" w:hAnsi="宋体" w:cs="宋体"/>
          <w:kern w:val="0"/>
          <w:szCs w:val="32"/>
          <w:highlight w:val="none"/>
        </w:rPr>
        <w:br w:type="page"/>
      </w:r>
      <w:r>
        <w:rPr>
          <w:rFonts w:hint="eastAsia" w:ascii="宋体" w:hAnsi="宋体" w:cs="宋体"/>
          <w:b/>
          <w:bCs/>
          <w:kern w:val="0"/>
          <w:szCs w:val="21"/>
          <w:highlight w:val="none"/>
        </w:rPr>
        <w:t>第一部分 合同协议书</w:t>
      </w:r>
    </w:p>
    <w:p>
      <w:pPr>
        <w:spacing w:line="440" w:lineRule="exact"/>
        <w:rPr>
          <w:rFonts w:ascii="宋体" w:hAnsi="宋体" w:cs="宋体"/>
          <w:b/>
          <w:szCs w:val="21"/>
          <w:highlight w:val="none"/>
          <w:u w:val="single"/>
        </w:rPr>
      </w:pPr>
      <w:r>
        <w:rPr>
          <w:rFonts w:hint="eastAsia" w:ascii="宋体" w:hAnsi="宋体" w:cs="宋体"/>
          <w:b/>
          <w:szCs w:val="21"/>
          <w:highlight w:val="none"/>
        </w:rPr>
        <w:t>发包人（全称）：</w:t>
      </w:r>
    </w:p>
    <w:p>
      <w:pPr>
        <w:spacing w:line="440" w:lineRule="exact"/>
        <w:rPr>
          <w:rFonts w:ascii="宋体" w:hAnsi="宋体" w:cs="宋体"/>
          <w:b/>
          <w:szCs w:val="21"/>
          <w:highlight w:val="none"/>
          <w:u w:val="single"/>
        </w:rPr>
      </w:pPr>
      <w:r>
        <w:rPr>
          <w:rFonts w:hint="eastAsia" w:ascii="宋体" w:hAnsi="宋体" w:cs="宋体"/>
          <w:b/>
          <w:szCs w:val="21"/>
          <w:highlight w:val="none"/>
        </w:rPr>
        <w:t>承包人（全称）：</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根据《中华人民共和国民法典》、《中华人民共和国建筑法》及有关法律规定，遵循平等、自愿、公平和诚实信用的原则，双方就</w:t>
      </w:r>
      <w:r>
        <w:rPr>
          <w:rFonts w:hint="eastAsia" w:ascii="宋体" w:hAnsi="宋体" w:cs="宋体"/>
          <w:szCs w:val="21"/>
          <w:highlight w:val="none"/>
          <w:u w:val="single"/>
        </w:rPr>
        <w:t>怀普路（新普路-怀德中路）交通工程</w:t>
      </w:r>
      <w:r>
        <w:rPr>
          <w:rFonts w:hint="eastAsia" w:ascii="宋体" w:hAnsi="宋体" w:cs="宋体"/>
          <w:szCs w:val="21"/>
          <w:highlight w:val="none"/>
        </w:rPr>
        <w:t>施工及有关事项协商一致，共同达成如下协议：</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一、工程概况</w:t>
      </w:r>
    </w:p>
    <w:p>
      <w:pPr>
        <w:spacing w:line="440" w:lineRule="exact"/>
        <w:ind w:firstLine="420" w:firstLineChars="200"/>
        <w:rPr>
          <w:rFonts w:ascii="宋体" w:hAnsi="宋体" w:cs="宋体"/>
          <w:szCs w:val="21"/>
          <w:highlight w:val="none"/>
          <w:u w:val="single"/>
        </w:rPr>
      </w:pPr>
      <w:r>
        <w:rPr>
          <w:rFonts w:hint="eastAsia" w:ascii="宋体" w:hAnsi="宋体" w:cs="宋体"/>
          <w:bCs/>
          <w:szCs w:val="21"/>
          <w:highlight w:val="none"/>
        </w:rPr>
        <w:t>1.工程名称</w:t>
      </w:r>
      <w:r>
        <w:rPr>
          <w:rFonts w:hint="eastAsia" w:ascii="宋体" w:hAnsi="宋体" w:cs="宋体"/>
          <w:szCs w:val="21"/>
          <w:highlight w:val="none"/>
        </w:rPr>
        <w:t>：</w:t>
      </w:r>
      <w:r>
        <w:rPr>
          <w:rFonts w:hint="eastAsia" w:ascii="宋体" w:hAnsi="宋体" w:cs="宋体"/>
          <w:szCs w:val="21"/>
          <w:highlight w:val="none"/>
          <w:u w:val="single"/>
        </w:rPr>
        <w:t>怀普路（新普路-怀德中路）交通工程</w:t>
      </w:r>
      <w:r>
        <w:rPr>
          <w:rFonts w:hint="eastAsia" w:ascii="宋体" w:hAnsi="宋体" w:cs="宋体"/>
          <w:szCs w:val="21"/>
          <w:highlight w:val="none"/>
        </w:rPr>
        <w:t>。</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2.工程地点：</w:t>
      </w:r>
      <w:r>
        <w:rPr>
          <w:rFonts w:hint="eastAsia" w:ascii="宋体" w:hAnsi="宋体" w:cs="宋体"/>
          <w:szCs w:val="21"/>
          <w:highlight w:val="none"/>
          <w:u w:val="single"/>
        </w:rPr>
        <w:t>钟楼区南大街街道区域内。</w:t>
      </w:r>
    </w:p>
    <w:p>
      <w:pPr>
        <w:spacing w:line="440" w:lineRule="exact"/>
        <w:ind w:firstLine="420" w:firstLineChars="200"/>
        <w:rPr>
          <w:rFonts w:ascii="宋体" w:hAnsi="宋体" w:cs="宋体"/>
          <w:bCs/>
          <w:szCs w:val="21"/>
          <w:highlight w:val="none"/>
          <w:u w:val="single"/>
        </w:rPr>
      </w:pPr>
      <w:r>
        <w:rPr>
          <w:rFonts w:hint="eastAsia" w:ascii="宋体" w:hAnsi="宋体" w:cs="宋体"/>
          <w:bCs/>
          <w:szCs w:val="21"/>
          <w:highlight w:val="none"/>
        </w:rPr>
        <w:t>3.工程立项批准文号：</w:t>
      </w:r>
      <w:r>
        <w:rPr>
          <w:rFonts w:hint="eastAsia" w:ascii="宋体" w:hAnsi="宋体" w:cs="宋体"/>
          <w:bCs/>
          <w:szCs w:val="21"/>
          <w:highlight w:val="none"/>
          <w:u w:val="single"/>
        </w:rPr>
        <w:t xml:space="preserve">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4.资金来源：财政。</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5.工程内容：工程量清单（含编制说明）范围内全部工程。</w:t>
      </w:r>
    </w:p>
    <w:p>
      <w:pPr>
        <w:spacing w:line="440" w:lineRule="exact"/>
        <w:ind w:firstLine="420" w:firstLineChars="200"/>
        <w:rPr>
          <w:rFonts w:ascii="宋体" w:hAnsi="宋体" w:cs="宋体"/>
          <w:bCs/>
          <w:szCs w:val="21"/>
          <w:highlight w:val="none"/>
        </w:rPr>
      </w:pPr>
      <w:r>
        <w:rPr>
          <w:rFonts w:hint="eastAsia" w:ascii="宋体" w:hAnsi="宋体" w:cs="宋体"/>
          <w:szCs w:val="21"/>
          <w:highlight w:val="none"/>
        </w:rPr>
        <w:t>群体工程应附《承包人承揽工程项目一览表》。</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6.工程承包范围：</w:t>
      </w:r>
    </w:p>
    <w:p>
      <w:pPr>
        <w:spacing w:line="440" w:lineRule="exact"/>
        <w:ind w:firstLine="420" w:firstLineChars="200"/>
        <w:rPr>
          <w:rFonts w:ascii="宋体" w:hAnsi="宋体" w:cs="宋体"/>
          <w:szCs w:val="21"/>
          <w:highlight w:val="none"/>
        </w:rPr>
      </w:pPr>
      <w:bookmarkStart w:id="7" w:name="EBa12c2d59b72f4d71b9aa90c18204bca8"/>
      <w:r>
        <w:rPr>
          <w:rFonts w:hint="eastAsia" w:ascii="宋体" w:hAnsi="宋体" w:cs="宋体"/>
          <w:szCs w:val="21"/>
          <w:highlight w:val="none"/>
        </w:rPr>
        <w:t>施工图纸及工程量清单（含编制说明）范围内的全部工程</w:t>
      </w:r>
      <w:bookmarkEnd w:id="7"/>
      <w:r>
        <w:rPr>
          <w:rFonts w:hint="eastAsia" w:ascii="宋体" w:hAnsi="宋体" w:cs="宋体"/>
          <w:szCs w:val="21"/>
          <w:highlight w:val="none"/>
        </w:rPr>
        <w:t>。</w:t>
      </w:r>
    </w:p>
    <w:p>
      <w:pPr>
        <w:keepNext/>
        <w:keepLines/>
        <w:spacing w:before="120" w:after="120" w:line="440" w:lineRule="exact"/>
        <w:outlineLvl w:val="3"/>
        <w:rPr>
          <w:rFonts w:ascii="宋体" w:hAnsi="宋体" w:cs="宋体"/>
          <w:bCs/>
          <w:szCs w:val="21"/>
          <w:highlight w:val="none"/>
        </w:rPr>
      </w:pPr>
      <w:r>
        <w:rPr>
          <w:rFonts w:hint="eastAsia" w:ascii="宋体" w:hAnsi="宋体" w:cs="宋体"/>
          <w:bCs/>
          <w:szCs w:val="21"/>
          <w:highlight w:val="none"/>
        </w:rPr>
        <w:t>二、合同工期</w:t>
      </w:r>
    </w:p>
    <w:p>
      <w:pPr>
        <w:spacing w:line="440" w:lineRule="exact"/>
        <w:ind w:firstLine="459"/>
        <w:rPr>
          <w:rFonts w:ascii="宋体" w:hAnsi="宋体" w:cs="宋体"/>
          <w:szCs w:val="21"/>
          <w:highlight w:val="none"/>
        </w:rPr>
      </w:pPr>
      <w:r>
        <w:rPr>
          <w:rFonts w:hint="eastAsia" w:ascii="宋体" w:hAnsi="宋体" w:cs="宋体"/>
          <w:szCs w:val="21"/>
          <w:highlight w:val="none"/>
        </w:rPr>
        <w:t>计划开工日期：202</w:t>
      </w:r>
      <w:r>
        <w:rPr>
          <w:rFonts w:hint="eastAsia" w:ascii="宋体" w:hAnsi="宋体" w:cs="宋体"/>
          <w:szCs w:val="21"/>
          <w:highlight w:val="none"/>
          <w:u w:val="single"/>
        </w:rPr>
        <w:t>4</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40" w:lineRule="exact"/>
        <w:ind w:firstLine="459"/>
        <w:rPr>
          <w:rFonts w:ascii="宋体" w:hAnsi="宋体" w:cs="宋体"/>
          <w:szCs w:val="21"/>
          <w:highlight w:val="none"/>
        </w:rPr>
      </w:pPr>
      <w:r>
        <w:rPr>
          <w:rFonts w:hint="eastAsia" w:ascii="宋体" w:hAnsi="宋体" w:cs="宋体"/>
          <w:szCs w:val="21"/>
          <w:highlight w:val="none"/>
        </w:rPr>
        <w:t>计划竣工日期：202</w:t>
      </w:r>
      <w:r>
        <w:rPr>
          <w:rFonts w:hint="eastAsia" w:ascii="宋体" w:hAnsi="宋体" w:cs="宋体"/>
          <w:szCs w:val="21"/>
          <w:highlight w:val="none"/>
          <w:u w:val="single"/>
        </w:rPr>
        <w:t>4</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40" w:lineRule="exact"/>
        <w:ind w:firstLine="459"/>
        <w:rPr>
          <w:rFonts w:ascii="宋体" w:hAnsi="宋体" w:cs="宋体"/>
          <w:szCs w:val="21"/>
          <w:highlight w:val="none"/>
        </w:rPr>
      </w:pPr>
      <w:r>
        <w:rPr>
          <w:rFonts w:hint="eastAsia" w:ascii="宋体" w:hAnsi="宋体" w:cs="宋体"/>
          <w:szCs w:val="21"/>
          <w:highlight w:val="none"/>
        </w:rPr>
        <w:t>工期总日历天数：</w:t>
      </w:r>
      <w:r>
        <w:rPr>
          <w:rFonts w:hint="eastAsia" w:ascii="宋体" w:hAnsi="宋体" w:cs="宋体"/>
          <w:szCs w:val="21"/>
          <w:highlight w:val="none"/>
          <w:u w:val="single"/>
        </w:rPr>
        <w:t xml:space="preserve">    </w:t>
      </w:r>
      <w:r>
        <w:rPr>
          <w:rFonts w:hint="eastAsia" w:ascii="宋体" w:hAnsi="宋体" w:cs="宋体"/>
          <w:szCs w:val="21"/>
          <w:highlight w:val="none"/>
        </w:rPr>
        <w:t>天。工期总日历天数与根据前述计划开竣工日期计算的工期天数不一致的，以工期总日历天数为准。</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三、质量标准</w:t>
      </w:r>
    </w:p>
    <w:p>
      <w:pPr>
        <w:spacing w:line="440" w:lineRule="exact"/>
        <w:ind w:firstLine="459"/>
        <w:rPr>
          <w:rFonts w:ascii="宋体" w:hAnsi="宋体" w:cs="宋体"/>
          <w:szCs w:val="21"/>
          <w:highlight w:val="none"/>
        </w:rPr>
      </w:pPr>
      <w:r>
        <w:rPr>
          <w:rFonts w:hint="eastAsia" w:ascii="宋体" w:hAnsi="宋体" w:cs="宋体"/>
          <w:szCs w:val="21"/>
          <w:highlight w:val="none"/>
        </w:rPr>
        <w:t>工程质量符合合格标准。</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四、签约合同价与合同价格形式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1.签约合同价为：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人民币（大写）(¥     )；</w:t>
      </w:r>
    </w:p>
    <w:p>
      <w:pPr>
        <w:spacing w:line="440" w:lineRule="exact"/>
        <w:ind w:firstLine="420" w:firstLineChars="200"/>
        <w:rPr>
          <w:rFonts w:ascii="宋体" w:hAnsi="宋体" w:cs="宋体"/>
          <w:color w:val="FF0000"/>
          <w:szCs w:val="21"/>
          <w:highlight w:val="none"/>
        </w:rPr>
      </w:pPr>
      <w:r>
        <w:rPr>
          <w:rFonts w:hint="eastAsia" w:ascii="宋体" w:hAnsi="宋体" w:cs="宋体"/>
          <w:color w:val="FF0000"/>
          <w:szCs w:val="21"/>
          <w:highlight w:val="none"/>
        </w:rPr>
        <w:t>上述合同价款已包含增值税，增值税税率为9%。如果国家调整增值税税率，则自新增值税税率执行之日起且本合同项下未开票部分按新的增值税率开具发票，不含税合同价款保持不变。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其中：</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（1）安全文明施工费：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人民币（大写）(¥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（2）材料和工程设备暂估价金额：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人民币（大写）(¥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（3）专业工程暂估价金额：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人民币（大写）(¥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（4）暂列金额：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人民币（大写）(¥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2.合同价格形式：固定综合单价。</w:t>
      </w:r>
    </w:p>
    <w:p>
      <w:pPr>
        <w:keepNext/>
        <w:keepLines/>
        <w:spacing w:before="120" w:after="120" w:line="440" w:lineRule="exact"/>
        <w:outlineLvl w:val="3"/>
        <w:rPr>
          <w:rFonts w:ascii="宋体" w:hAnsi="宋体" w:cs="宋体"/>
          <w:bCs/>
          <w:szCs w:val="21"/>
          <w:highlight w:val="none"/>
        </w:rPr>
      </w:pPr>
      <w:r>
        <w:rPr>
          <w:rFonts w:hint="eastAsia" w:ascii="宋体" w:hAnsi="宋体" w:cs="宋体"/>
          <w:bCs/>
          <w:szCs w:val="21"/>
          <w:highlight w:val="none"/>
        </w:rPr>
        <w:t>五、项目经理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承包人项目经理：。</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六、合同文件构成</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本协议书与下列文件一起构成合同文件：</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（1）中标通知书（如果有）；</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（2）投标函及其附录（如果有）； </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（3）专用合同条款及其附件；</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（4）通用合同条款；</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（5）技术标准和要求；</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（6）图纸；</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（7）已标价工程量清单或预算书；</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（8）其他合同文件。</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pPr>
        <w:autoSpaceDE w:val="0"/>
        <w:autoSpaceDN w:val="0"/>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keepLines/>
        <w:spacing w:before="120" w:after="120" w:line="440" w:lineRule="exact"/>
        <w:outlineLvl w:val="3"/>
        <w:rPr>
          <w:rFonts w:ascii="宋体" w:hAnsi="宋体" w:cs="宋体"/>
          <w:szCs w:val="21"/>
          <w:highlight w:val="none"/>
        </w:rPr>
      </w:pPr>
      <w:r>
        <w:rPr>
          <w:rFonts w:hint="eastAsia" w:ascii="宋体" w:hAnsi="宋体" w:cs="宋体"/>
          <w:bCs/>
          <w:szCs w:val="21"/>
          <w:highlight w:val="none"/>
        </w:rPr>
        <w:t>七、承诺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1.发包人承诺按照法律规定履行项目审批手续、筹集工程建设资金并按照合同约定的期限和方式支付合同价款。</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3.发包人和承包人通过招投标形式签订合同的，双方理解并承诺不再就同一工程另行签订与合同实质性内容相背离的协议。</w:t>
      </w:r>
    </w:p>
    <w:p>
      <w:pPr>
        <w:keepNext/>
        <w:keepLines/>
        <w:spacing w:before="120" w:after="120" w:line="440" w:lineRule="exact"/>
        <w:outlineLvl w:val="3"/>
        <w:rPr>
          <w:rFonts w:ascii="宋体" w:hAnsi="宋体" w:cs="宋体"/>
          <w:bCs/>
          <w:szCs w:val="21"/>
          <w:highlight w:val="none"/>
        </w:rPr>
      </w:pPr>
      <w:r>
        <w:rPr>
          <w:rFonts w:hint="eastAsia" w:ascii="宋体" w:hAnsi="宋体" w:cs="宋体"/>
          <w:bCs/>
          <w:szCs w:val="21"/>
          <w:highlight w:val="none"/>
        </w:rPr>
        <w:t>八、词语含义</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本协议书中词语含义与第二部分通用合同条款中赋予的含义相同。</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九、签订时间</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本合同于签订。</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十、签订地点</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本合同在                                签订。</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十一、补充协议</w:t>
      </w:r>
    </w:p>
    <w:p>
      <w:pPr>
        <w:spacing w:line="440" w:lineRule="exact"/>
        <w:ind w:firstLine="420" w:firstLineChars="200"/>
        <w:rPr>
          <w:rFonts w:ascii="宋体" w:hAnsi="宋体" w:cs="宋体"/>
          <w:b/>
          <w:bCs/>
          <w:szCs w:val="21"/>
          <w:highlight w:val="none"/>
        </w:rPr>
      </w:pPr>
      <w:r>
        <w:rPr>
          <w:rFonts w:hint="eastAsia" w:ascii="宋体" w:hAnsi="宋体" w:cs="宋体"/>
          <w:bCs/>
          <w:szCs w:val="21"/>
          <w:highlight w:val="none"/>
        </w:rPr>
        <w:t>合同未尽事宜，合同当事人另行签订补充协议，补充协议是合同的组成部分。</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十二、合同生效</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本合同自合同当事人盖章后生效。</w:t>
      </w:r>
    </w:p>
    <w:p>
      <w:pPr>
        <w:keepNext/>
        <w:keepLines/>
        <w:spacing w:before="120" w:after="120" w:line="440" w:lineRule="exact"/>
        <w:outlineLvl w:val="3"/>
        <w:rPr>
          <w:rFonts w:ascii="宋体" w:hAnsi="宋体" w:cs="宋体"/>
          <w:b/>
          <w:szCs w:val="21"/>
          <w:highlight w:val="none"/>
        </w:rPr>
      </w:pPr>
      <w:r>
        <w:rPr>
          <w:rFonts w:hint="eastAsia" w:ascii="宋体" w:hAnsi="宋体" w:cs="宋体"/>
          <w:bCs/>
          <w:szCs w:val="21"/>
          <w:highlight w:val="none"/>
        </w:rPr>
        <w:t>十三、合同份数</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本合同一式捌份，均具有同等法律效力，发包人执肆份，承包人执肆份。</w:t>
      </w:r>
    </w:p>
    <w:p>
      <w:pPr>
        <w:spacing w:line="360" w:lineRule="auto"/>
        <w:rPr>
          <w:rFonts w:ascii="宋体" w:hAnsi="宋体" w:cs="宋体"/>
          <w:szCs w:val="21"/>
          <w:highlight w:val="none"/>
        </w:rPr>
      </w:pPr>
    </w:p>
    <w:p>
      <w:pPr>
        <w:spacing w:line="360" w:lineRule="auto"/>
        <w:rPr>
          <w:rFonts w:ascii="宋体" w:hAnsi="宋体" w:cs="宋体"/>
          <w:bCs/>
          <w:szCs w:val="21"/>
          <w:highlight w:val="none"/>
        </w:rPr>
      </w:pPr>
    </w:p>
    <w:tbl>
      <w:tblPr>
        <w:tblStyle w:val="26"/>
        <w:tblW w:w="0" w:type="auto"/>
        <w:tblInd w:w="-108" w:type="dxa"/>
        <w:tblLayout w:type="fixed"/>
        <w:tblCellMar>
          <w:top w:w="0" w:type="dxa"/>
          <w:left w:w="108" w:type="dxa"/>
          <w:bottom w:w="0" w:type="dxa"/>
          <w:right w:w="108" w:type="dxa"/>
        </w:tblCellMar>
      </w:tblPr>
      <w:tblGrid>
        <w:gridCol w:w="4502"/>
        <w:gridCol w:w="4502"/>
      </w:tblGrid>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发包人：</w:t>
            </w:r>
          </w:p>
          <w:p>
            <w:pPr>
              <w:spacing w:line="360" w:lineRule="auto"/>
              <w:rPr>
                <w:rFonts w:ascii="宋体" w:hAnsi="宋体" w:cs="宋体"/>
                <w:szCs w:val="21"/>
                <w:highlight w:val="none"/>
              </w:rPr>
            </w:pPr>
            <w:r>
              <w:rPr>
                <w:rFonts w:hint="eastAsia" w:ascii="宋体" w:hAnsi="宋体" w:cs="宋体"/>
                <w:szCs w:val="21"/>
                <w:highlight w:val="none"/>
              </w:rPr>
              <w:t xml:space="preserve"> (公章)  </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承包人：</w:t>
            </w:r>
          </w:p>
          <w:p>
            <w:pPr>
              <w:spacing w:line="360" w:lineRule="auto"/>
              <w:rPr>
                <w:rFonts w:ascii="宋体" w:hAnsi="宋体" w:cs="宋体"/>
                <w:szCs w:val="21"/>
                <w:highlight w:val="none"/>
              </w:rPr>
            </w:pPr>
            <w:r>
              <w:rPr>
                <w:rFonts w:hint="eastAsia" w:ascii="宋体" w:hAnsi="宋体" w:cs="宋体"/>
                <w:szCs w:val="21"/>
                <w:highlight w:val="none"/>
              </w:rPr>
              <w:t>(公章)</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法定代表人或其委托代理人：</w:t>
            </w:r>
          </w:p>
          <w:p>
            <w:pPr>
              <w:spacing w:line="360" w:lineRule="auto"/>
              <w:rPr>
                <w:rFonts w:ascii="宋体" w:hAnsi="宋体" w:cs="宋体"/>
                <w:szCs w:val="21"/>
                <w:highlight w:val="none"/>
              </w:rPr>
            </w:pPr>
            <w:r>
              <w:rPr>
                <w:rFonts w:hint="eastAsia" w:ascii="宋体" w:hAnsi="宋体" w:cs="宋体"/>
                <w:szCs w:val="21"/>
                <w:highlight w:val="none"/>
              </w:rPr>
              <w:t>（签字）</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法定代表人或其委托代理人：</w:t>
            </w:r>
          </w:p>
          <w:p>
            <w:pPr>
              <w:spacing w:line="360" w:lineRule="auto"/>
              <w:rPr>
                <w:rFonts w:ascii="宋体" w:hAnsi="宋体" w:cs="宋体"/>
                <w:szCs w:val="21"/>
                <w:highlight w:val="none"/>
              </w:rPr>
            </w:pPr>
            <w:r>
              <w:rPr>
                <w:rFonts w:hint="eastAsia" w:ascii="宋体" w:hAnsi="宋体" w:cs="宋体"/>
                <w:szCs w:val="21"/>
                <w:highlight w:val="none"/>
              </w:rPr>
              <w:t>（签字）</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组织机构代码：</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组织机构代码：</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地  址：</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地  址：</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邮政编码：</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邮政编码：</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法定代表人：</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法定代表人：</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委托代理人：</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委托代理人：</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电  话：</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电  话：</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传  真：</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传  真：</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电子信箱：</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电子信箱：</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开户银行：</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开户银行：</w:t>
            </w:r>
          </w:p>
        </w:tc>
      </w:tr>
      <w:tr>
        <w:tblPrEx>
          <w:tblCellMar>
            <w:top w:w="0" w:type="dxa"/>
            <w:left w:w="108" w:type="dxa"/>
            <w:bottom w:w="0" w:type="dxa"/>
            <w:right w:w="108" w:type="dxa"/>
          </w:tblCellMar>
        </w:tblPrEx>
        <w:tc>
          <w:tcPr>
            <w:tcW w:w="4502" w:type="dxa"/>
          </w:tcPr>
          <w:p>
            <w:pPr>
              <w:spacing w:line="360" w:lineRule="auto"/>
              <w:rPr>
                <w:rFonts w:ascii="宋体" w:hAnsi="宋体" w:cs="宋体"/>
                <w:szCs w:val="21"/>
                <w:highlight w:val="none"/>
              </w:rPr>
            </w:pPr>
            <w:r>
              <w:rPr>
                <w:rFonts w:hint="eastAsia" w:ascii="宋体" w:hAnsi="宋体" w:cs="宋体"/>
                <w:szCs w:val="21"/>
                <w:highlight w:val="none"/>
              </w:rPr>
              <w:t>账  号：</w:t>
            </w:r>
          </w:p>
        </w:tc>
        <w:tc>
          <w:tcPr>
            <w:tcW w:w="4502" w:type="dxa"/>
          </w:tcPr>
          <w:p>
            <w:pPr>
              <w:spacing w:line="360" w:lineRule="auto"/>
              <w:rPr>
                <w:rFonts w:ascii="宋体" w:hAnsi="宋体" w:cs="宋体"/>
                <w:szCs w:val="21"/>
                <w:highlight w:val="none"/>
              </w:rPr>
            </w:pPr>
            <w:r>
              <w:rPr>
                <w:rFonts w:hint="eastAsia" w:ascii="宋体" w:hAnsi="宋体" w:cs="宋体"/>
                <w:szCs w:val="21"/>
                <w:highlight w:val="none"/>
              </w:rPr>
              <w:t>账  号：</w:t>
            </w:r>
          </w:p>
        </w:tc>
      </w:tr>
    </w:tbl>
    <w:p>
      <w:pPr>
        <w:spacing w:line="440" w:lineRule="exact"/>
        <w:jc w:val="center"/>
        <w:rPr>
          <w:rFonts w:ascii="宋体" w:hAnsi="宋体" w:cs="宋体"/>
          <w:b/>
          <w:bCs/>
          <w:kern w:val="0"/>
          <w:szCs w:val="21"/>
          <w:highlight w:val="none"/>
        </w:rPr>
      </w:pPr>
      <w:r>
        <w:rPr>
          <w:rFonts w:hint="eastAsia" w:ascii="宋体" w:hAnsi="宋体" w:cs="宋体"/>
          <w:b/>
          <w:bCs/>
          <w:kern w:val="0"/>
          <w:sz w:val="28"/>
          <w:szCs w:val="28"/>
          <w:highlight w:val="none"/>
        </w:rPr>
        <w:br w:type="page"/>
      </w:r>
      <w:r>
        <w:rPr>
          <w:rFonts w:hint="eastAsia" w:ascii="宋体" w:hAnsi="宋体" w:cs="宋体"/>
          <w:b/>
          <w:bCs/>
          <w:kern w:val="0"/>
          <w:szCs w:val="21"/>
          <w:highlight w:val="none"/>
        </w:rPr>
        <w:t>第二部分 通用合同条款</w:t>
      </w:r>
    </w:p>
    <w:p>
      <w:pPr>
        <w:spacing w:line="440" w:lineRule="exact"/>
        <w:ind w:firstLine="422" w:firstLineChars="200"/>
        <w:rPr>
          <w:rFonts w:ascii="宋体" w:hAnsi="宋体" w:cs="宋体"/>
          <w:szCs w:val="21"/>
          <w:highlight w:val="none"/>
        </w:rPr>
      </w:pPr>
      <w:r>
        <w:rPr>
          <w:rFonts w:hint="eastAsia" w:ascii="宋体" w:hAnsi="宋体" w:cs="宋体"/>
          <w:b/>
          <w:kern w:val="0"/>
          <w:szCs w:val="21"/>
          <w:highlight w:val="none"/>
        </w:rPr>
        <w:t>采用《建设工程施工合同（示范文本）》（GF—2017—0201）。</w:t>
      </w:r>
    </w:p>
    <w:p>
      <w:pPr>
        <w:keepNext/>
        <w:keepLines/>
        <w:spacing w:before="240" w:after="60" w:line="440" w:lineRule="exact"/>
        <w:jc w:val="center"/>
        <w:outlineLvl w:val="2"/>
        <w:rPr>
          <w:rFonts w:ascii="宋体" w:hAnsi="宋体" w:cs="宋体"/>
          <w:b/>
          <w:bCs/>
          <w:kern w:val="0"/>
          <w:szCs w:val="21"/>
          <w:highlight w:val="none"/>
        </w:rPr>
      </w:pPr>
      <w:r>
        <w:rPr>
          <w:rFonts w:hint="eastAsia" w:ascii="宋体" w:hAnsi="宋体" w:cs="宋体"/>
          <w:b/>
          <w:bCs/>
          <w:kern w:val="0"/>
          <w:szCs w:val="21"/>
          <w:highlight w:val="none"/>
        </w:rPr>
        <w:t>第三部分 专用合同条款</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 一般约定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 词语定义</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1.1.1合同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1.1.1.10其他合同文件包括：</w:t>
      </w:r>
    </w:p>
    <w:p>
      <w:pPr>
        <w:spacing w:line="440" w:lineRule="exact"/>
        <w:ind w:firstLine="420" w:firstLineChars="200"/>
        <w:rPr>
          <w:rFonts w:ascii="宋体" w:hAnsi="宋体" w:cs="宋体"/>
          <w:kern w:val="0"/>
          <w:szCs w:val="21"/>
          <w:highlight w:val="none"/>
        </w:rPr>
      </w:pPr>
      <w:bookmarkStart w:id="8" w:name="EBc6d60a433fe64215a19020ebad869d9e"/>
      <w:r>
        <w:rPr>
          <w:rFonts w:hint="eastAsia" w:ascii="宋体" w:hAnsi="宋体" w:cs="宋体"/>
          <w:szCs w:val="21"/>
          <w:highlight w:val="none"/>
        </w:rPr>
        <w:t>（1）合同协议书；（2）中标通知书；（3）投标函及其附录；（4）专用合同条款及其附件；（5）通用合同条款；（6）技术标准和要求；（7）图纸；（8）承包人建议书（如果有）；（9）价格清单；（10）其他合同文件（项目部管理机构人员表、履约保函等）</w:t>
      </w:r>
      <w:bookmarkEnd w:id="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1.1.2 合同当事人及其他相关方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1.1.2.4监理人：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资质类别和等级：；</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联系电话：；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电子信箱：；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通信地址：。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1.1.2.5 设计人：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资质类别和等级：；</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联系电话：；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电子信箱：；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通信地址：。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1.1.3 工程和设备</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1.1.3.7 作为施工现场组成部分的其他场所包括：</w:t>
      </w:r>
      <w:bookmarkStart w:id="9" w:name="EB6f6d50ee5be34d02890c67ea0e4084ed"/>
      <w:r>
        <w:rPr>
          <w:rFonts w:hint="eastAsia" w:ascii="宋体" w:hAnsi="宋体" w:cs="宋体"/>
          <w:szCs w:val="21"/>
          <w:highlight w:val="none"/>
        </w:rPr>
        <w:t>按通用条款执行</w:t>
      </w:r>
      <w:bookmarkEnd w:id="9"/>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1.1.3.9 永久占地包括：</w:t>
      </w:r>
      <w:bookmarkStart w:id="10" w:name="EB576eae0685684d7e99dbc4286e5ca0cc"/>
      <w:r>
        <w:rPr>
          <w:rFonts w:hint="eastAsia" w:ascii="宋体" w:hAnsi="宋体" w:cs="宋体"/>
          <w:kern w:val="0"/>
          <w:szCs w:val="21"/>
          <w:highlight w:val="none"/>
        </w:rPr>
        <w:t>按通用条款执行。</w:t>
      </w:r>
      <w:bookmarkEnd w:id="10"/>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1.1.3.10 临时占地包括：</w:t>
      </w:r>
      <w:bookmarkStart w:id="11" w:name="EBd7a9b6127a3647c48657e63df1fd3816"/>
      <w:r>
        <w:rPr>
          <w:rFonts w:hint="eastAsia" w:ascii="宋体" w:hAnsi="宋体" w:cs="宋体"/>
          <w:kern w:val="0"/>
          <w:szCs w:val="21"/>
          <w:highlight w:val="none"/>
        </w:rPr>
        <w:t>按通用条款执行</w:t>
      </w:r>
      <w:bookmarkEnd w:id="11"/>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1.3法律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适用于合同的其他规范性文件：按通用条款执行。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 标准和规范</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1.4.1适用于工程的标准规范包括：</w:t>
      </w:r>
      <w:bookmarkStart w:id="12" w:name="EB2a411411b7b04d548ebcde543177f00e"/>
      <w:r>
        <w:rPr>
          <w:rFonts w:hint="eastAsia" w:ascii="宋体" w:hAnsi="宋体" w:cs="宋体"/>
          <w:szCs w:val="21"/>
          <w:highlight w:val="none"/>
        </w:rPr>
        <w:t>按通用条款执行</w:t>
      </w:r>
      <w:bookmarkEnd w:id="12"/>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1.4.2 发包人提供国外标准、规范的名称：/；</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发包人提供国外标准、规范的份数：/；</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发包人提供国外标准、规范的名称：/。</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1.4.3发包人对工程的技术标准和功能要求的特殊要求：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按招标文件要求。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 合同文件的优先顺序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合同文件组成及优先顺序为：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合同协议书；（2）中标通知书；（3）专用合同条款及其附件；（4）通用合同条款；（5）招标文件（含工程量清单）；（6）投标文件（含已标价工程量清单或预算书）；（7）技术标准和要求；(8)图纸；（9）其他合同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 图纸和承包人文件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1.6.1 图纸的提供</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发包人向承包人提供图纸的期限：</w:t>
      </w:r>
      <w:bookmarkStart w:id="13" w:name="EB7a7f7e250a934d419e14ff358c32b2c4"/>
      <w:r>
        <w:rPr>
          <w:rFonts w:hint="eastAsia" w:ascii="宋体" w:hAnsi="宋体" w:cs="宋体"/>
          <w:szCs w:val="21"/>
          <w:highlight w:val="none"/>
        </w:rPr>
        <w:t>合同生效后7天内</w:t>
      </w:r>
      <w:bookmarkEnd w:id="13"/>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发包人向承包人提供图纸的数量：</w:t>
      </w:r>
    </w:p>
    <w:p>
      <w:pPr>
        <w:spacing w:line="440" w:lineRule="exact"/>
        <w:ind w:firstLine="420" w:firstLineChars="200"/>
        <w:rPr>
          <w:rFonts w:ascii="宋体" w:hAnsi="宋体" w:cs="宋体"/>
          <w:szCs w:val="21"/>
          <w:highlight w:val="none"/>
        </w:rPr>
      </w:pPr>
      <w:bookmarkStart w:id="14" w:name="EB7647218bd15e42f2a775e03ec838a5b1"/>
      <w:r>
        <w:rPr>
          <w:rFonts w:hint="eastAsia" w:ascii="宋体" w:hAnsi="宋体" w:cs="宋体"/>
          <w:szCs w:val="21"/>
          <w:highlight w:val="none"/>
        </w:rPr>
        <w:t>提供肆套施工图，承包人可自费复印更多份数；暂估项目的图纸套数在相关合同中另行约定</w:t>
      </w:r>
      <w:bookmarkEnd w:id="1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发包人向承包人提供图纸的内容：详见图纸。</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1.6.4 承包人文件</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需要由承包人提供的文件，包括：</w:t>
      </w:r>
    </w:p>
    <w:p>
      <w:pPr>
        <w:spacing w:line="440" w:lineRule="exact"/>
        <w:ind w:firstLine="420" w:firstLineChars="200"/>
        <w:rPr>
          <w:rFonts w:ascii="宋体" w:hAnsi="宋体" w:cs="宋体"/>
          <w:szCs w:val="21"/>
          <w:highlight w:val="none"/>
        </w:rPr>
      </w:pPr>
      <w:bookmarkStart w:id="15" w:name="EB485baad2422f4ec4a0e4a268afeaef2c"/>
      <w:r>
        <w:rPr>
          <w:rFonts w:hint="eastAsia" w:ascii="宋体" w:hAnsi="宋体" w:cs="宋体"/>
          <w:szCs w:val="21"/>
          <w:highlight w:val="none"/>
        </w:rPr>
        <w:t>施工过程中必要的加工图、大样图等，按照监理人或发包人的具体要求执行</w:t>
      </w:r>
      <w:bookmarkEnd w:id="15"/>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承包人提供的文件的期限为：竣工验收后2个月内；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承包人提供的文件的数量为：</w:t>
      </w:r>
      <w:bookmarkStart w:id="16" w:name="EB3b4ee9a896914a42851ee2371fb31d0d"/>
      <w:r>
        <w:rPr>
          <w:rFonts w:hint="eastAsia" w:ascii="宋体" w:hAnsi="宋体" w:cs="宋体"/>
          <w:szCs w:val="21"/>
          <w:highlight w:val="none"/>
        </w:rPr>
        <w:t>一式肆份</w:t>
      </w:r>
      <w:bookmarkEnd w:id="1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承包人提供的文件的形式为：</w:t>
      </w:r>
      <w:bookmarkStart w:id="17" w:name="EB362caeb9cfd5470f99ba03cb789bbf9d"/>
      <w:r>
        <w:rPr>
          <w:rFonts w:hint="eastAsia" w:ascii="宋体" w:hAnsi="宋体" w:cs="宋体"/>
          <w:szCs w:val="21"/>
          <w:highlight w:val="none"/>
        </w:rPr>
        <w:t>按发包人及监理人要求</w:t>
      </w:r>
      <w:bookmarkEnd w:id="1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发包人审批承包人文件的期限：承包人提交相应文件后的一周内。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1.6.5 现场图纸准备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关于现场图纸准备的约定：</w:t>
      </w:r>
    </w:p>
    <w:p>
      <w:pPr>
        <w:spacing w:line="440" w:lineRule="exact"/>
        <w:ind w:firstLine="420" w:firstLineChars="200"/>
        <w:rPr>
          <w:rFonts w:ascii="宋体" w:hAnsi="宋体" w:cs="宋体"/>
          <w:szCs w:val="21"/>
          <w:highlight w:val="none"/>
        </w:rPr>
      </w:pPr>
      <w:bookmarkStart w:id="18" w:name="EB79411a3789f24a6ab9d8e7180f6de0fb"/>
      <w:r>
        <w:rPr>
          <w:rFonts w:hint="eastAsia" w:ascii="宋体" w:hAnsi="宋体" w:cs="宋体"/>
          <w:szCs w:val="21"/>
          <w:highlight w:val="none"/>
        </w:rPr>
        <w:t>①在本合同工程竣工验收之前，承包人须按国家颁发的竣工验收相关规定、技术档案管理条例、有关部门先行要求编制整理竣工资料和竣工图一式叁份（其中应有贰套盖有审图章的竣工图），移交给发包人和有关部门。竣工图的整理、装订、移交等费用由承包人承担。②发包人对图纸资料的保密要求：除严格用于合同目的除外，图纸、规范和其他文件未经发包人许可，承包人不得用于或泄露给第三方。如果对公开有关信息的必要性产生争执，则以发包人的决定为准</w:t>
      </w:r>
      <w:bookmarkEnd w:id="1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 联络</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1.7.1发包人和承包人应当在</w:t>
      </w:r>
      <w:bookmarkStart w:id="19" w:name="EB0a6ee8889f724675817613ebaf550c60"/>
      <w:r>
        <w:rPr>
          <w:rFonts w:hint="eastAsia" w:ascii="宋体" w:hAnsi="宋体" w:cs="宋体"/>
          <w:kern w:val="0"/>
          <w:szCs w:val="21"/>
          <w:highlight w:val="none"/>
        </w:rPr>
        <w:t>3</w:t>
      </w:r>
      <w:bookmarkEnd w:id="19"/>
      <w:r>
        <w:rPr>
          <w:rFonts w:hint="eastAsia" w:ascii="宋体" w:hAnsi="宋体" w:cs="宋体"/>
          <w:kern w:val="0"/>
          <w:szCs w:val="21"/>
          <w:highlight w:val="none"/>
        </w:rPr>
        <w:t>天内将与合同有关的通知、批准、证明、证书、指示、指令、要求、请求、同意、意见、确定和决定等书面函件送达对方当事人。</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1.7.2 发包人接收文件的地点：</w:t>
      </w:r>
      <w:bookmarkStart w:id="20" w:name="EB5df4a2f593b84c7b88e410a4aaadece9"/>
      <w:r>
        <w:rPr>
          <w:rFonts w:hint="eastAsia" w:ascii="宋体" w:hAnsi="宋体" w:cs="宋体"/>
          <w:kern w:val="0"/>
          <w:szCs w:val="21"/>
          <w:highlight w:val="none"/>
        </w:rPr>
        <w:t>发包人现场办公室</w:t>
      </w:r>
      <w:bookmarkEnd w:id="20"/>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发包人指定的接收人为：</w:t>
      </w:r>
      <w:bookmarkStart w:id="21" w:name="EBf08bb2b76b894921beff2d33700305ce"/>
      <w:r>
        <w:rPr>
          <w:rFonts w:hint="eastAsia" w:ascii="宋体" w:hAnsi="宋体" w:cs="宋体"/>
          <w:kern w:val="0"/>
          <w:szCs w:val="21"/>
          <w:highlight w:val="none"/>
        </w:rPr>
        <w:t>发包人代表或其授权代表</w:t>
      </w:r>
      <w:bookmarkEnd w:id="21"/>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承包人接收文件的地点：</w:t>
      </w:r>
      <w:bookmarkStart w:id="22" w:name="EBfb093ad29c3f4826a0a3f1cd18a1b386"/>
      <w:r>
        <w:rPr>
          <w:rFonts w:hint="eastAsia" w:ascii="宋体" w:hAnsi="宋体" w:cs="宋体"/>
          <w:kern w:val="0"/>
          <w:szCs w:val="21"/>
          <w:highlight w:val="none"/>
        </w:rPr>
        <w:t>承包人现场办公室</w:t>
      </w:r>
      <w:bookmarkEnd w:id="22"/>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承包人指定的接收人为：</w:t>
      </w:r>
      <w:bookmarkStart w:id="23" w:name="EBb18b529c1d43452fb6c6ea9ca6a4d85c"/>
      <w:r>
        <w:rPr>
          <w:rFonts w:hint="eastAsia" w:ascii="宋体" w:hAnsi="宋体" w:cs="宋体"/>
          <w:kern w:val="0"/>
          <w:szCs w:val="21"/>
          <w:highlight w:val="none"/>
        </w:rPr>
        <w:t>项目经理或其授权代表</w:t>
      </w:r>
      <w:bookmarkEnd w:id="23"/>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监理人接收文件的地点：</w:t>
      </w:r>
      <w:bookmarkStart w:id="24" w:name="EBa03e785bc4884fe0a32eb7feb5792940"/>
      <w:r>
        <w:rPr>
          <w:rFonts w:hint="eastAsia" w:ascii="宋体" w:hAnsi="宋体" w:cs="宋体"/>
          <w:kern w:val="0"/>
          <w:szCs w:val="21"/>
          <w:highlight w:val="none"/>
        </w:rPr>
        <w:t>监理人现场办公室</w:t>
      </w:r>
      <w:bookmarkEnd w:id="24"/>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监理人指定的接收人为：</w:t>
      </w:r>
      <w:bookmarkStart w:id="25" w:name="EB25cac137d9e9408a9aa53124cb06fed3"/>
      <w:r>
        <w:rPr>
          <w:rFonts w:hint="eastAsia" w:ascii="宋体" w:hAnsi="宋体" w:cs="宋体"/>
          <w:kern w:val="0"/>
          <w:szCs w:val="21"/>
          <w:highlight w:val="none"/>
        </w:rPr>
        <w:t>总监理工程师或其授权代表</w:t>
      </w:r>
      <w:bookmarkEnd w:id="25"/>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1.10 交通运输</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1.10.1 出入现场的权利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关于出入现场的权利的约定：</w:t>
      </w:r>
      <w:bookmarkStart w:id="26" w:name="EBd6b1925c9f604b5ba4377272b776b49b"/>
      <w:r>
        <w:rPr>
          <w:rFonts w:hint="eastAsia" w:ascii="宋体" w:hAnsi="宋体" w:cs="宋体"/>
          <w:szCs w:val="21"/>
          <w:highlight w:val="none"/>
        </w:rPr>
        <w:t>/</w:t>
      </w:r>
      <w:bookmarkEnd w:id="2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1.10.3 场内交通</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关于场外交通和场内交通的边界的约定：/。</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关于发包人向承包人免费提供满足工程施工需要的场内道路和交通设施的约定：</w:t>
      </w:r>
    </w:p>
    <w:p>
      <w:pPr>
        <w:spacing w:line="440" w:lineRule="exact"/>
        <w:ind w:firstLine="420" w:firstLineChars="200"/>
        <w:rPr>
          <w:rFonts w:ascii="宋体" w:hAnsi="宋体" w:cs="宋体"/>
          <w:kern w:val="0"/>
          <w:szCs w:val="21"/>
          <w:highlight w:val="none"/>
        </w:rPr>
      </w:pPr>
      <w:bookmarkStart w:id="27" w:name="EB21d80dfbaa26499c9ffc5f3bd65413f7"/>
      <w:r>
        <w:rPr>
          <w:rFonts w:hint="eastAsia" w:ascii="宋体" w:hAnsi="宋体" w:cs="宋体"/>
          <w:kern w:val="0"/>
          <w:szCs w:val="21"/>
          <w:highlight w:val="none"/>
        </w:rPr>
        <w:t>以现场实际施工条件为准</w:t>
      </w:r>
      <w:bookmarkEnd w:id="27"/>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1.10.4超大件和超重件的运输</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运输超大件或超重件所需的道路和桥梁临时加固改造费用和其他有关费用由承包人承担。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1.11 知识产权</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1.11.1关于发包人提供给承包人的图纸、发包人为实施工程自行编制或委托编制的技术规范以及反映发包人关于合同要求或其他类似性质的文件的著作权的归属：</w:t>
      </w:r>
      <w:bookmarkStart w:id="28" w:name="EBb9bad76517d24c6683c5b307e2391ee0"/>
      <w:r>
        <w:rPr>
          <w:rFonts w:hint="eastAsia" w:ascii="宋体" w:hAnsi="宋体" w:cs="宋体"/>
          <w:szCs w:val="21"/>
          <w:highlight w:val="none"/>
        </w:rPr>
        <w:t>发包人</w:t>
      </w:r>
      <w:bookmarkEnd w:id="2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关于发包人提供的上述文件的使用限制的要求：</w:t>
      </w:r>
      <w:bookmarkStart w:id="29" w:name="EB0f297e00162b4a8288c62840bf5cfd54"/>
      <w:r>
        <w:rPr>
          <w:rFonts w:hint="eastAsia" w:ascii="宋体" w:hAnsi="宋体" w:cs="宋体"/>
          <w:szCs w:val="21"/>
          <w:highlight w:val="none"/>
        </w:rPr>
        <w:t>按通用条款执行</w:t>
      </w:r>
      <w:bookmarkEnd w:id="29"/>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1.11.2 关于承包人为实施工程所编制文件的著作权的归属：</w:t>
      </w:r>
      <w:bookmarkStart w:id="30" w:name="EB1872302b33704fcca57b614d3660a0a3"/>
      <w:r>
        <w:rPr>
          <w:rFonts w:hint="eastAsia" w:ascii="宋体" w:hAnsi="宋体" w:cs="宋体"/>
          <w:szCs w:val="21"/>
          <w:highlight w:val="none"/>
        </w:rPr>
        <w:t>承包人</w:t>
      </w:r>
      <w:bookmarkEnd w:id="3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关于承包人提供的上述文件的使用限制的要求：</w:t>
      </w:r>
      <w:bookmarkStart w:id="31" w:name="EB06677a2545ec424daa3b392a830e5b9b"/>
      <w:r>
        <w:rPr>
          <w:rFonts w:hint="eastAsia" w:ascii="宋体" w:hAnsi="宋体" w:cs="宋体"/>
          <w:szCs w:val="21"/>
          <w:highlight w:val="none"/>
        </w:rPr>
        <w:t>按通用条款执行</w:t>
      </w:r>
      <w:bookmarkEnd w:id="31"/>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1.11.4 承包人在施工过程中所采用的专利、专有技术、技术秘密的使用费的承担方式：</w:t>
      </w:r>
      <w:bookmarkStart w:id="32" w:name="EB043bee43626a4150a9671728476febfd"/>
      <w:r>
        <w:rPr>
          <w:rFonts w:hint="eastAsia" w:ascii="宋体" w:hAnsi="宋体" w:cs="宋体"/>
          <w:kern w:val="0"/>
          <w:szCs w:val="21"/>
          <w:highlight w:val="none"/>
        </w:rPr>
        <w:t>按通用条款执行</w:t>
      </w:r>
      <w:bookmarkEnd w:id="32"/>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1.13工程量清单错误的修正</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出现工程量清单错误时，是否调整合同价格：</w:t>
      </w:r>
      <w:bookmarkStart w:id="33" w:name="EBa6181cb04e3745429cbeb982f9fdc772"/>
      <w:r>
        <w:rPr>
          <w:rFonts w:hint="eastAsia" w:ascii="宋体" w:hAnsi="宋体" w:cs="宋体"/>
          <w:kern w:val="0"/>
          <w:szCs w:val="21"/>
          <w:highlight w:val="none"/>
        </w:rPr>
        <w:t>详见补充条款</w:t>
      </w:r>
      <w:bookmarkEnd w:id="33"/>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允许调整合同价格的工程量偏差范围：</w:t>
      </w:r>
      <w:r>
        <w:rPr>
          <w:rFonts w:hint="eastAsia" w:ascii="宋体" w:hAnsi="宋体" w:cs="宋体"/>
          <w:kern w:val="0"/>
          <w:szCs w:val="21"/>
          <w:highlight w:val="none"/>
        </w:rPr>
        <w:t>详见补充条款。</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2. 发包人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2.2 发包人代表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发包人代表：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姓    名：；</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身份证号：；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职    务：；</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联系电话：；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电子信箱：；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通信地址：。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发包人对发包人代表的授权范围如下：</w:t>
      </w:r>
      <w:bookmarkStart w:id="34" w:name="EB4d259607c5a64238b6f1db66012e4c49"/>
      <w:r>
        <w:rPr>
          <w:rFonts w:hint="eastAsia" w:ascii="宋体" w:hAnsi="宋体" w:cs="宋体"/>
          <w:szCs w:val="21"/>
          <w:highlight w:val="none"/>
        </w:rPr>
        <w:t>/</w:t>
      </w:r>
      <w:bookmarkEnd w:id="3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2.4 施工现场、施工条件和基础资料的提供</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2.4.1 提供施工现场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关于发包人移交施工现场的期限要求：</w:t>
      </w:r>
      <w:bookmarkStart w:id="35" w:name="EB4227fc72d00741fe9f5c5411bf8d894f"/>
      <w:r>
        <w:rPr>
          <w:rFonts w:hint="eastAsia" w:ascii="宋体" w:hAnsi="宋体" w:cs="宋体"/>
          <w:szCs w:val="21"/>
          <w:highlight w:val="none"/>
        </w:rPr>
        <w:t>按通用条款执行</w:t>
      </w:r>
      <w:bookmarkEnd w:id="35"/>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2.4.2 提供施工条件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关于发包人应负责提供施工所需要的条件，包括：</w:t>
      </w:r>
    </w:p>
    <w:p>
      <w:pPr>
        <w:spacing w:line="440" w:lineRule="exact"/>
        <w:ind w:firstLine="420" w:firstLineChars="200"/>
        <w:rPr>
          <w:rFonts w:ascii="宋体" w:hAnsi="宋体" w:cs="宋体"/>
          <w:szCs w:val="21"/>
          <w:highlight w:val="none"/>
          <w:u w:val="single"/>
        </w:rPr>
      </w:pPr>
      <w:bookmarkStart w:id="36" w:name="EB39d093eb41e94222a05c6238e48f27e4"/>
      <w:r>
        <w:rPr>
          <w:rFonts w:hint="eastAsia" w:ascii="宋体" w:hAnsi="宋体" w:cs="宋体"/>
          <w:szCs w:val="21"/>
          <w:highlight w:val="none"/>
        </w:rPr>
        <w:t>①本工程所需水源、电源由承包人负责，相关费用包含在合同价中，施工过程中不另计量，结算时不调整。②如有涉及工程地质资料，则发包人于合同签订后一周内提供。③发包人根据工程进度要求办理需发包人办理的各项施工许可手续</w:t>
      </w:r>
      <w:bookmarkEnd w:id="3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2.5 资金来源证明及支付担保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发包人提供资金来源证明的期限要求：</w:t>
      </w:r>
      <w:bookmarkStart w:id="37" w:name="EB946c4982f9dd491792cdab17ceb70bb7"/>
      <w:r>
        <w:rPr>
          <w:rFonts w:hint="eastAsia" w:ascii="宋体" w:hAnsi="宋体" w:cs="宋体"/>
          <w:szCs w:val="21"/>
          <w:highlight w:val="none"/>
        </w:rPr>
        <w:t>/</w:t>
      </w:r>
      <w:bookmarkEnd w:id="3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发包人是否提供支付担保：/。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发包人提供支付担保的形式：</w:t>
      </w:r>
      <w:bookmarkStart w:id="38" w:name="EBcd904b3041e14347963d9ab12f641c6d"/>
      <w:r>
        <w:rPr>
          <w:rFonts w:hint="eastAsia" w:ascii="宋体" w:hAnsi="宋体" w:cs="宋体"/>
          <w:szCs w:val="21"/>
          <w:highlight w:val="none"/>
        </w:rPr>
        <w:t>/。</w:t>
      </w:r>
      <w:bookmarkEnd w:id="38"/>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3. 承包人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3.1 承包人的一般义务</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（9）</w:t>
      </w:r>
      <w:r>
        <w:rPr>
          <w:rFonts w:hint="eastAsia" w:ascii="宋体" w:hAnsi="宋体" w:cs="宋体"/>
          <w:szCs w:val="21"/>
          <w:highlight w:val="none"/>
        </w:rPr>
        <w:t>承包人提交的竣工资料的内容：</w:t>
      </w:r>
    </w:p>
    <w:p>
      <w:pPr>
        <w:spacing w:line="440" w:lineRule="exact"/>
        <w:ind w:firstLine="420" w:firstLineChars="200"/>
        <w:rPr>
          <w:rFonts w:ascii="宋体" w:hAnsi="宋体" w:cs="宋体"/>
          <w:szCs w:val="21"/>
          <w:highlight w:val="none"/>
        </w:rPr>
      </w:pPr>
      <w:bookmarkStart w:id="39" w:name="EB3d62e883eeb349669be8ed8423fa8df5"/>
      <w:r>
        <w:rPr>
          <w:rFonts w:hint="eastAsia" w:ascii="宋体" w:hAnsi="宋体" w:cs="宋体"/>
          <w:szCs w:val="21"/>
          <w:highlight w:val="none"/>
        </w:rPr>
        <w:t>按发包人要求，提交符合城建档案馆和质检监督部门要求的竣工图及竣工资料；并提交完整的结算资料</w:t>
      </w:r>
      <w:bookmarkEnd w:id="39"/>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承包人需要提交的竣工资料套数：</w:t>
      </w:r>
      <w:bookmarkStart w:id="40" w:name="EB947caadbef344206bd0729bfa2426487"/>
      <w:r>
        <w:rPr>
          <w:rFonts w:hint="eastAsia" w:ascii="宋体" w:hAnsi="宋体" w:cs="宋体"/>
          <w:szCs w:val="21"/>
          <w:highlight w:val="none"/>
        </w:rPr>
        <w:t>竣工资料和竣工图一式叁份</w:t>
      </w:r>
      <w:bookmarkEnd w:id="4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承包人提交的竣工资料的费用承担：承包人承担。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承包人提交的竣工资料移交时间：</w:t>
      </w:r>
      <w:bookmarkStart w:id="41" w:name="EBec75fa71df054961a32d3781c90a6450"/>
      <w:r>
        <w:rPr>
          <w:rFonts w:hint="eastAsia" w:ascii="宋体" w:hAnsi="宋体" w:cs="宋体"/>
          <w:szCs w:val="21"/>
          <w:highlight w:val="none"/>
        </w:rPr>
        <w:t>竣工验收合格后7日之内</w:t>
      </w:r>
      <w:bookmarkEnd w:id="41"/>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承包人提交的竣工资料形式要求：</w:t>
      </w:r>
    </w:p>
    <w:p>
      <w:pPr>
        <w:spacing w:line="440" w:lineRule="exact"/>
        <w:ind w:firstLine="420" w:firstLineChars="200"/>
        <w:rPr>
          <w:rFonts w:ascii="宋体" w:hAnsi="宋体" w:cs="宋体"/>
          <w:szCs w:val="21"/>
          <w:highlight w:val="none"/>
        </w:rPr>
      </w:pPr>
      <w:bookmarkStart w:id="42" w:name="EB2cd1c646dbc84d34bd54daeb06354d36"/>
      <w:r>
        <w:rPr>
          <w:rFonts w:hint="eastAsia" w:ascii="宋体" w:hAnsi="宋体" w:cs="宋体"/>
          <w:szCs w:val="21"/>
          <w:highlight w:val="none"/>
        </w:rPr>
        <w:t>符合工程所在地建设行政主管部门或城建档案管理机构有关竣工资料的要求，包括电子档案资料。费用由承包人承担</w:t>
      </w:r>
      <w:bookmarkEnd w:id="42"/>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（10）承包人应履行的其他义务：</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① 高（中）考、节假日（扬尘管控除外），可能对施工作出某些限制和配合要求，承包人应予以服从，并按照要求作出必要的配合，这可能造成承包人的损失。发包人不向承包人增加相关费用，工期不予顺延。②市内重大活动、扬尘管控期间可能对施工作出某些限制和配合要求，承包人应予服从，并按照要求作出必要的配合，这可能造成承包人的损失。发包人不向承包人增加相关费用，但工期予以顺延。 ③承包人要加强工程施工车辆的管理，施工车辆不得无故堵塞道路交通，不得沿途抛洒弃土。保持路面清洁，车辆出入场内场外道路，均应设专人进行路面保洁；渣土车辆在出入市政道路前必须进行冲洗，避免带泥作业和沿路撒泼滴漏等。承包人负责与交警部门联系解决在交通线路上布设限速、禁停等标志、标牌，并根据交通主管部门要求，安排人员在主要路口疏解汽车、行人交通，其相应手续及费用由承包人负责。④施工场地周围地下管线和邻近建筑物、构筑物（含文物保护建筑）古树名木的保护要求及费用承担：承包人按照发包人要求提出保护措施和方案，经发包人、监理人同意后实施，费用经发包人审定后按独立费由发包人承担。如发现地下管线等，承包人不得破坏，否则必须无条件及时修复，并承担由此发生的费用。⑤承包人应充分了解已存在、或潜在的对本项目管线及其他已完工的隐蔽工程的破坏因素，承包人应采取切实可行的保护措施，防止本项目管线遭到破坏。同时，承包人应充分了解本项目工程施工对其他市政公用管线已存在的、或潜在的破坏因素，并且承包人及施工人员采取切实的保护措施，防止因本项目工程施工而破坏其他市政公用管线，否则应赔偿因此造成的一切损失。若因发包人未提供相关资料造成的损失承包人不承担责任。承包人进场后应积极调查和测量地下管线和实施，并向发包人报告，需要迁移的应协助相关单位迁移。承包人按发包人要求组织实施，保护或迁移的费用由发包人承担，承包人承担自己原因造成的损失。 ⑥专业分包施工队伍与现有施工单位做好协调配合工作。 ⑦应提供计划、 报表的名称及完成时间： 开工前提供施工总进度计划、施工中提供月进度计划及其他报表。⑧已完工程成品保护的特殊要求及费用承担。 ⑨双方约定承包人应做的其它工作：双方另行协商。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3.2 项目经理</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 xml:space="preserve">3.2.1 </w:t>
      </w:r>
      <w:r>
        <w:rPr>
          <w:rFonts w:hint="eastAsia" w:ascii="宋体" w:hAnsi="宋体" w:cs="宋体"/>
          <w:szCs w:val="21"/>
          <w:highlight w:val="none"/>
        </w:rPr>
        <w:t>项目经理：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姓    名：；</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身份证号：；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建造师执业资格等级：；</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建造师注册证书号：；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建造师执业印章号：；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安全生产考核合格证书号：；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联系电话：；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电子信箱：；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通信地址：；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承包人对项目经理的授权范围如下：</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负责现场工程管理，协调关系，听从发包人和监理的指挥。</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关于项目经理每月在施工现场的时间要求：</w:t>
      </w:r>
      <w:bookmarkStart w:id="43" w:name="EB48425ad618684fba8b74d0f9a6f2adf7"/>
      <w:r>
        <w:rPr>
          <w:rFonts w:hint="eastAsia" w:ascii="宋体" w:hAnsi="宋体" w:cs="宋体"/>
          <w:szCs w:val="21"/>
          <w:highlight w:val="none"/>
        </w:rPr>
        <w:t>详见补充条款</w:t>
      </w:r>
      <w:bookmarkEnd w:id="43"/>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承包人未提交劳动合同，以及没有为项目经理缴纳社会保险证明的违约责任：</w:t>
      </w:r>
      <w:r>
        <w:rPr>
          <w:rFonts w:hint="eastAsia" w:ascii="宋体" w:hAnsi="宋体" w:cs="宋体"/>
          <w:szCs w:val="21"/>
          <w:highlight w:val="none"/>
        </w:rPr>
        <w:t>详见补充条款。</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项目经理未经批准，擅自离开施工现场的违约责任：</w:t>
      </w:r>
      <w:bookmarkStart w:id="44" w:name="EBf2273dee669246b9887108366afeb88b"/>
      <w:r>
        <w:rPr>
          <w:rFonts w:hint="eastAsia" w:ascii="宋体" w:hAnsi="宋体" w:cs="宋体"/>
          <w:szCs w:val="21"/>
          <w:highlight w:val="none"/>
        </w:rPr>
        <w:t>详见补充条款</w:t>
      </w:r>
      <w:bookmarkEnd w:id="4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3.2.3 承包人擅自更换项目经理的违约责任：</w:t>
      </w:r>
      <w:bookmarkStart w:id="45" w:name="EBe1d52db0d86546d384a79e4984733934"/>
      <w:r>
        <w:rPr>
          <w:rFonts w:hint="eastAsia" w:ascii="宋体" w:hAnsi="宋体" w:cs="宋体"/>
          <w:szCs w:val="21"/>
          <w:highlight w:val="none"/>
        </w:rPr>
        <w:t>详见补充条款</w:t>
      </w:r>
      <w:bookmarkEnd w:id="45"/>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3.2.4 承包人无正当理由拒绝更换项目经理的违约责任：</w:t>
      </w:r>
      <w:bookmarkStart w:id="46" w:name="EB9bb0a4458c2243218f907b788ff3584c"/>
      <w:r>
        <w:rPr>
          <w:rFonts w:hint="eastAsia" w:ascii="宋体" w:hAnsi="宋体" w:cs="宋体"/>
          <w:szCs w:val="21"/>
          <w:highlight w:val="none"/>
        </w:rPr>
        <w:t>详见补充条款</w:t>
      </w:r>
      <w:bookmarkEnd w:id="4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 承包人人员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3.3.1 承包人提交项目管理机构及施工现场管理人员安排报告的期限：</w:t>
      </w:r>
      <w:bookmarkStart w:id="47" w:name="EB1a1410891d484643afb66fcdccfec38f"/>
      <w:r>
        <w:rPr>
          <w:rFonts w:hint="eastAsia" w:ascii="宋体" w:hAnsi="宋体" w:cs="宋体"/>
          <w:szCs w:val="21"/>
          <w:highlight w:val="none"/>
        </w:rPr>
        <w:t>进场前一周内</w:t>
      </w:r>
      <w:bookmarkEnd w:id="4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3.3.3 承包人无正当理由拒绝撤换主要施工管理人员的违约责任：</w:t>
      </w:r>
      <w:bookmarkStart w:id="48" w:name="EB6582a20300c34f399937b6701895d982"/>
      <w:r>
        <w:rPr>
          <w:rFonts w:hint="eastAsia" w:ascii="宋体" w:hAnsi="宋体" w:cs="宋体"/>
          <w:szCs w:val="21"/>
          <w:highlight w:val="none"/>
        </w:rPr>
        <w:t>详见补充条款</w:t>
      </w:r>
      <w:bookmarkEnd w:id="4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3.3.4 承包人主要施工管理人员离开施工现场的批准要求：</w:t>
      </w:r>
      <w:bookmarkStart w:id="49" w:name="EB631d8000c0804486ac9c6837fb77c68e"/>
      <w:r>
        <w:rPr>
          <w:rFonts w:hint="eastAsia" w:ascii="宋体" w:hAnsi="宋体" w:cs="宋体"/>
          <w:szCs w:val="21"/>
          <w:highlight w:val="none"/>
        </w:rPr>
        <w:t>须征得发包人书面同意</w:t>
      </w:r>
      <w:bookmarkEnd w:id="49"/>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3.3.5承包人擅自更换主要施工管理人员的违约责任：</w:t>
      </w:r>
      <w:bookmarkStart w:id="50" w:name="EBe71e587f78ed407b9bfa84c65c6c323c"/>
      <w:r>
        <w:rPr>
          <w:rFonts w:hint="eastAsia" w:ascii="宋体" w:hAnsi="宋体" w:cs="宋体"/>
          <w:szCs w:val="21"/>
          <w:highlight w:val="none"/>
        </w:rPr>
        <w:t>详见补充条款</w:t>
      </w:r>
      <w:bookmarkEnd w:id="5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承包人主要施工管理人员擅自离开施工现场的违约责任：</w:t>
      </w:r>
      <w:bookmarkStart w:id="51" w:name="EBa2e9541f823e49b585519ed36d2b7a1f"/>
      <w:r>
        <w:rPr>
          <w:rFonts w:hint="eastAsia" w:ascii="宋体" w:hAnsi="宋体" w:cs="宋体"/>
          <w:szCs w:val="21"/>
          <w:highlight w:val="none"/>
        </w:rPr>
        <w:t>详见补充条款</w:t>
      </w:r>
      <w:bookmarkEnd w:id="51"/>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3.5 分包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3.5.1 分包的一般约定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禁止分包的工程包括：</w:t>
      </w:r>
      <w:bookmarkStart w:id="52" w:name="EB8787f813e92841b9adc69027ee283678"/>
      <w:r>
        <w:rPr>
          <w:rFonts w:hint="eastAsia" w:ascii="宋体" w:hAnsi="宋体" w:cs="宋体"/>
          <w:szCs w:val="21"/>
          <w:highlight w:val="none"/>
        </w:rPr>
        <w:t>按通用条款执行</w:t>
      </w:r>
      <w:bookmarkEnd w:id="52"/>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主体结构、关键性工作的范围：</w:t>
      </w:r>
      <w:bookmarkStart w:id="53" w:name="EB6c0af213cd764212a15457cd70265074"/>
      <w:r>
        <w:rPr>
          <w:rFonts w:hint="eastAsia" w:ascii="宋体" w:hAnsi="宋体" w:cs="宋体"/>
          <w:szCs w:val="21"/>
          <w:highlight w:val="none"/>
        </w:rPr>
        <w:t>/</w:t>
      </w:r>
      <w:bookmarkEnd w:id="53"/>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3.5.2分包的确定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允许分包的专业工程包括：</w:t>
      </w:r>
      <w:bookmarkStart w:id="54" w:name="EB4cdcb7237bf34860b4e2a735eea92f83"/>
      <w:r>
        <w:rPr>
          <w:rFonts w:hint="eastAsia" w:ascii="宋体" w:hAnsi="宋体" w:cs="宋体"/>
          <w:szCs w:val="21"/>
          <w:highlight w:val="none"/>
        </w:rPr>
        <w:t>/</w:t>
      </w:r>
      <w:bookmarkEnd w:id="5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其他关于分包的约定：/。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3.5.4 分包合同价款</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关于分包合同价款支付的约定：/。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3.6 工程照管与成品、半成品保护</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承包人负责照管工程及工程相关的材料、工程设备的起始时间：</w:t>
      </w:r>
      <w:bookmarkStart w:id="55" w:name="EBbf32ea4765404ac5b9911affda69fd79"/>
      <w:r>
        <w:rPr>
          <w:rFonts w:hint="eastAsia" w:ascii="宋体" w:hAnsi="宋体" w:cs="宋体"/>
          <w:kern w:val="0"/>
          <w:szCs w:val="21"/>
          <w:highlight w:val="none"/>
        </w:rPr>
        <w:t>按通用条款执行</w:t>
      </w:r>
      <w:bookmarkEnd w:id="55"/>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 履约担保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承包人是否提供履约担保：/</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4. 监理人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4.1监理人的一般规定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关于监理人的监理内容：按监理合同执行。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关于监理人的监理权限：按监理合同执行。 </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关于监理人在施工现场的办公场所、生活场所的提供和费用承担的约定：按监理合同执行。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4.2 监理人员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总监理工程师：</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姓    名：；</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职    务：；</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监理工程师执业资格证书号：；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联系电话：；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电子信箱：；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通信地址：；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关于监理人的其他约定：按监理合同执行。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4.4 商定或确定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在发包人和承包人不能通过协商达成一致意见时，发包人授权监理人对以下事项进行确定：</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 按监理合同执行                    ；</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  /                                ；</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 /                                 。</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5. 工程质量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5.1 质量要求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5.1.1 特殊质量标准和要求：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本工程竣工工程质量必须达到“合格”。</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关于工程奖项的约定：</w:t>
      </w:r>
      <w:bookmarkStart w:id="56" w:name="EB41d69f4103f14b91b61982dd09851682"/>
      <w:r>
        <w:rPr>
          <w:rFonts w:hint="eastAsia" w:ascii="宋体" w:hAnsi="宋体" w:cs="宋体"/>
          <w:szCs w:val="21"/>
          <w:highlight w:val="none"/>
        </w:rPr>
        <w:t>/</w:t>
      </w:r>
      <w:bookmarkEnd w:id="5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5.3 隐蔽工程检查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5.3.2承包人提前通知监理人隐蔽工程检查的期限的约定：</w:t>
      </w:r>
      <w:bookmarkStart w:id="57" w:name="EB10fa062b81724bc0a502c3b0bf00ab80"/>
      <w:r>
        <w:rPr>
          <w:rFonts w:hint="eastAsia" w:ascii="宋体" w:hAnsi="宋体" w:cs="宋体"/>
          <w:szCs w:val="21"/>
          <w:highlight w:val="none"/>
        </w:rPr>
        <w:t>按通用条款执行</w:t>
      </w:r>
      <w:bookmarkEnd w:id="5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监理人不能按时进行检查时，应提前24小时提交书面延期要求。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关于延期最长不得超过：48小时。</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6. 安全文明施工与环境保护</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6.1安全文明施工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6.1.1 项目安全生产的达标目标及相应事项的约定：</w:t>
      </w:r>
    </w:p>
    <w:p>
      <w:pPr>
        <w:spacing w:line="440" w:lineRule="exact"/>
        <w:ind w:firstLine="420" w:firstLineChars="200"/>
        <w:rPr>
          <w:rFonts w:ascii="宋体" w:hAnsi="宋体" w:cs="宋体"/>
          <w:szCs w:val="21"/>
          <w:highlight w:val="none"/>
        </w:rPr>
      </w:pPr>
      <w:bookmarkStart w:id="58" w:name="EBe6db36c009444d7e840fd5e65eb016ea"/>
      <w:r>
        <w:rPr>
          <w:rFonts w:hint="eastAsia" w:ascii="宋体" w:hAnsi="宋体" w:cs="宋体"/>
          <w:szCs w:val="21"/>
          <w:highlight w:val="none"/>
        </w:rPr>
        <w:t>（1）承包人在施工期间须针对周边情况做好防尘降噪工作，应遵守《中华人民共和国安全生产法》及地方政府和有关部门对施工场地交通、噪声、污水、扬尘管控、现场环境卫生和场外污染等管理规定并办理有关手续。（2）承包人须做好文明施工、安全生产，在施工过程中应完善文明施工措施，在施工过程中因承包人原因造成的安全事故由承包人承担。承担施工及场地内安全保卫工作及非夜间施工照明的责任和要求：承包人根据需要负责施工现场围护、看守和护卫等，承包人在进场前要制订对人员、机械设备的操作、安全用电及消防等各方面的安全制度，增强全体施工人员的安全意识，落实安全责任，禁止无关单位车辆、人员出入工地。如承包人未履行上述义务造成工程、财产和人身伤害，由承包人承担责任及所发生的费用。（3）施工过程中如因质量、安全文明、扬尘管控或环境保护等问题而遭受政府行政管理部门批评或开具处罚通知单，每发生一次，承包人除立即整改外，还应承担 5000 元/次的违约金。由于承包人原因在质量、安全、工资支付等方面受到媒体曝光或被政府有关主管部门通报批评，给本工程或发包人带来负面影响的，每次由承包人承担 1万元违约金。承包人施工过程中对监理提出的质量、安全文明或环境保护的整改要求，承包人 48 小时内未进行整改或整改后仍然无法满足要求时，每发生一次，承包人承担 5000 元/天的违约金。如承包人拒不执行发包人和监理指令的，承包人将按 1万元/次承担违约金，并追究相关责任</w:t>
      </w:r>
      <w:bookmarkEnd w:id="5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6.1.4 关于治安保卫的特别约定：</w:t>
      </w:r>
    </w:p>
    <w:p>
      <w:pPr>
        <w:spacing w:line="440" w:lineRule="exact"/>
        <w:ind w:firstLine="420" w:firstLineChars="200"/>
        <w:rPr>
          <w:rFonts w:ascii="宋体" w:hAnsi="宋体" w:cs="宋体"/>
          <w:szCs w:val="21"/>
          <w:highlight w:val="none"/>
        </w:rPr>
      </w:pPr>
      <w:bookmarkStart w:id="59" w:name="EB5c5bb6b60a3844c1823d557402735a7a"/>
      <w:r>
        <w:rPr>
          <w:rFonts w:hint="eastAsia" w:ascii="宋体" w:hAnsi="宋体" w:cs="宋体"/>
          <w:szCs w:val="21"/>
          <w:highlight w:val="none"/>
        </w:rPr>
        <w:t>承包人应采取必要的安全防护措施，全面负责施工范围内的治安保卫工作并承担因该项工作不力而造成的相应损失</w:t>
      </w:r>
      <w:bookmarkEnd w:id="59"/>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关于编制施工场地治安管理计划的约定：</w:t>
      </w:r>
      <w:bookmarkStart w:id="60" w:name="EB2a752cc101b445da8965e010f01712e7"/>
      <w:r>
        <w:rPr>
          <w:rFonts w:hint="eastAsia" w:ascii="宋体" w:hAnsi="宋体" w:cs="宋体"/>
          <w:szCs w:val="21"/>
          <w:highlight w:val="none"/>
        </w:rPr>
        <w:t>按通用条款执行</w:t>
      </w:r>
      <w:bookmarkEnd w:id="6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6.1.5 文明施工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合同当事人对文明施工的要求：</w:t>
      </w:r>
      <w:bookmarkStart w:id="61" w:name="EBc1bf92f16e7543db911973376992f64f"/>
      <w:r>
        <w:rPr>
          <w:rFonts w:hint="eastAsia" w:ascii="宋体" w:hAnsi="宋体" w:cs="宋体"/>
          <w:szCs w:val="21"/>
          <w:highlight w:val="none"/>
        </w:rPr>
        <w:t>详见补充条款</w:t>
      </w:r>
      <w:bookmarkEnd w:id="61"/>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6.1.6 关于安全文明施工费支付比例和支付期限的约定：</w:t>
      </w:r>
      <w:bookmarkStart w:id="62" w:name="EB1af72cff715d46619dc512c74d6ab249"/>
      <w:r>
        <w:rPr>
          <w:rFonts w:hint="eastAsia" w:ascii="宋体" w:hAnsi="宋体" w:cs="宋体"/>
          <w:szCs w:val="21"/>
          <w:highlight w:val="none"/>
        </w:rPr>
        <w:t>详见补充条款</w:t>
      </w:r>
      <w:bookmarkEnd w:id="62"/>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7. 工期和进度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7.1 施工组织设计</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7.1.1 合</w:t>
      </w:r>
      <w:r>
        <w:rPr>
          <w:rFonts w:hint="eastAsia" w:ascii="宋体" w:hAnsi="宋体" w:cs="宋体"/>
          <w:kern w:val="0"/>
          <w:szCs w:val="21"/>
          <w:highlight w:val="none"/>
        </w:rPr>
        <w:t>同当事人约定的施工组织设计应包括的其他内容：</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①进度计划；②主要技术方案；③劳动力安排和设备使用计划；④发包人供应的材料设备的使用计划；⑤发包人对承包人的付款计划；⑥发包人应配合的相关工作及要求；⑦监理人可以根据工程实际情况，书面要求承包人提供进一步的详细说明和其它内容；合同签订后 1 周内向发包人提供施工组织设计（施工方案）和进度计划 1 份，进度计划须按发包人的要求编制。发包人 10天内予以确认或要求承包人进行修改， 经确认后， 承包人应于 2 天内提供正式的施工组织设计 （施工方案）2 份、进度计划 1 份给发包人，因承包人原因未及时提供合格的施工组织设计（施工方案）、进度计划、未能做好配合工作而造成损失的，由承包人承担。</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 xml:space="preserve">7.1.2 </w:t>
      </w:r>
      <w:r>
        <w:rPr>
          <w:rFonts w:hint="eastAsia" w:ascii="宋体" w:hAnsi="宋体" w:cs="宋体"/>
          <w:kern w:val="0"/>
          <w:szCs w:val="21"/>
          <w:highlight w:val="none"/>
        </w:rPr>
        <w:t>施工组织设计的提交和修改</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承包人提交详细施工组织设计的期限的约定：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开工前 7 天内提供施工进度总计划和有针对性的施工组织设计。</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发包人和监理人在收到详细的施工组织设计后确认或提出修改意见的期限：</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自监理人收到承包人报送的相关进度计划后 7 天内。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7.2 施工进度计划</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7.2.2 施工进度计划的修订</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发包人和监理人在收到修订的施工进度计划后确认或提出修改意见的期限：</w:t>
      </w:r>
    </w:p>
    <w:p>
      <w:pPr>
        <w:spacing w:line="440" w:lineRule="exact"/>
        <w:ind w:firstLine="420" w:firstLineChars="200"/>
        <w:rPr>
          <w:rFonts w:ascii="宋体" w:hAnsi="宋体" w:cs="宋体"/>
          <w:szCs w:val="21"/>
          <w:highlight w:val="none"/>
        </w:rPr>
      </w:pPr>
      <w:bookmarkStart w:id="63" w:name="EB7753ea9052e3497a964df9278d58e202"/>
      <w:r>
        <w:rPr>
          <w:rFonts w:hint="eastAsia" w:ascii="宋体" w:hAnsi="宋体" w:cs="宋体"/>
          <w:szCs w:val="21"/>
          <w:highlight w:val="none"/>
        </w:rPr>
        <w:t>收到承包人报送的相关进度计划和施工方案说明后14天内</w:t>
      </w:r>
      <w:bookmarkEnd w:id="63"/>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7.3 开工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7.3.1 开工准备</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关于承包人提交</w:t>
      </w:r>
      <w:r>
        <w:rPr>
          <w:rFonts w:hint="eastAsia" w:ascii="宋体" w:hAnsi="宋体" w:cs="宋体"/>
          <w:kern w:val="0"/>
          <w:szCs w:val="21"/>
          <w:highlight w:val="none"/>
        </w:rPr>
        <w:t>工程开工报审表的期限：</w:t>
      </w:r>
      <w:bookmarkStart w:id="64" w:name="EBc73b7d35d4754de1b3e2834ebc6bd273"/>
      <w:r>
        <w:rPr>
          <w:rFonts w:hint="eastAsia" w:ascii="宋体" w:hAnsi="宋体" w:cs="宋体"/>
          <w:szCs w:val="21"/>
          <w:highlight w:val="none"/>
        </w:rPr>
        <w:t>7天</w:t>
      </w:r>
      <w:bookmarkEnd w:id="6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关于发包人应完成的其他开工准备工作及期限：开工前。</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关于承包人应完成的其他开工准备工作及期限：</w:t>
      </w:r>
      <w:bookmarkStart w:id="65" w:name="EB19be525b26994dcc870628d099313ccf"/>
      <w:r>
        <w:rPr>
          <w:rFonts w:hint="eastAsia" w:ascii="宋体" w:hAnsi="宋体" w:cs="宋体"/>
          <w:szCs w:val="21"/>
          <w:highlight w:val="none"/>
        </w:rPr>
        <w:t>开工前</w:t>
      </w:r>
      <w:bookmarkEnd w:id="65"/>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7.3.2开工通知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因发包人原因造成监理人未能在计划开工日期之日起</w:t>
      </w:r>
      <w:bookmarkStart w:id="66" w:name="EB347328e6dcb14f71b2a50588bb5e4e0e"/>
      <w:r>
        <w:rPr>
          <w:rFonts w:hint="eastAsia" w:ascii="宋体" w:hAnsi="宋体" w:cs="宋体"/>
          <w:szCs w:val="21"/>
          <w:highlight w:val="none"/>
        </w:rPr>
        <w:t>/</w:t>
      </w:r>
      <w:bookmarkEnd w:id="66"/>
      <w:r>
        <w:rPr>
          <w:rFonts w:hint="eastAsia" w:ascii="宋体" w:hAnsi="宋体" w:cs="宋体"/>
          <w:szCs w:val="21"/>
          <w:highlight w:val="none"/>
        </w:rPr>
        <w:t>天内发出开工通知的，承包人有权提出价格调整要求，或者解除合同。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7.4 测量放线</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7.4.1发包人通过监理人向承包人提供测量基准点、基准线和水准点及其书面资料的期限：</w:t>
      </w:r>
    </w:p>
    <w:p>
      <w:pPr>
        <w:spacing w:line="440" w:lineRule="exact"/>
        <w:ind w:firstLine="420" w:firstLineChars="200"/>
        <w:rPr>
          <w:rFonts w:ascii="宋体" w:hAnsi="宋体" w:cs="宋体"/>
          <w:szCs w:val="21"/>
          <w:highlight w:val="none"/>
          <w:u w:val="single"/>
        </w:rPr>
      </w:pPr>
      <w:bookmarkStart w:id="67" w:name="EB5d4d59d7d12f48ad99e4a45e7ac02397"/>
      <w:r>
        <w:rPr>
          <w:rFonts w:hint="eastAsia" w:ascii="宋体" w:hAnsi="宋体" w:cs="宋体"/>
          <w:szCs w:val="21"/>
          <w:highlight w:val="none"/>
        </w:rPr>
        <w:t>承包人进驻现场后3天内</w:t>
      </w:r>
      <w:bookmarkEnd w:id="6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7.5 工期延误</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7.5.1 因发包人原因导致工期延误</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（7）因发包人原因导致工期延误的其他情形：</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由于不可抗力及发包人指令原因而影响施工导致工期拖延，经发包人书面同意后工期可相应</w:t>
      </w:r>
    </w:p>
    <w:p>
      <w:pPr>
        <w:spacing w:line="440" w:lineRule="exact"/>
        <w:rPr>
          <w:rFonts w:ascii="宋体" w:hAnsi="宋体" w:cs="宋体"/>
          <w:szCs w:val="21"/>
          <w:highlight w:val="none"/>
        </w:rPr>
      </w:pPr>
      <w:r>
        <w:rPr>
          <w:rFonts w:hint="eastAsia" w:ascii="宋体" w:hAnsi="宋体" w:cs="宋体"/>
          <w:szCs w:val="21"/>
          <w:highlight w:val="none"/>
        </w:rPr>
        <w:t>顺延，但发包人不再承担其他责任。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7.5.2 因承包人原因导致工期延误</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因承包人原因造成工期延误，逾期竣工违约金的计算方法为：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承包人因自身原因未能在承诺工期内完成招标范围内的全部工程内容，则按延误合同工期的天数承担（分部分项工程费+单价措施项目费-工程设备费）的 0.2‰/天的逾期竣工违约金。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因承包人原因造成工期延误，逾期竣工违约金的上限：</w:t>
      </w:r>
      <w:bookmarkStart w:id="68" w:name="EB600c7260cbd94d8a9a37320a128463f3"/>
      <w:r>
        <w:rPr>
          <w:rFonts w:hint="eastAsia" w:ascii="宋体" w:hAnsi="宋体" w:cs="宋体"/>
          <w:szCs w:val="21"/>
          <w:highlight w:val="none"/>
        </w:rPr>
        <w:t>/</w:t>
      </w:r>
      <w:bookmarkEnd w:id="6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7.6 不利物质条件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不利物质条件的其他情形和有关约定：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7.7异常恶劣的气候条件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发包人和承包人同意以下情形视为异常恶劣的气候条件：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7.9 提前竣工的奖励</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7.9.2提前竣工的奖励：</w:t>
      </w:r>
      <w:bookmarkStart w:id="69" w:name="EB11c3e2fb5a0940c8a660d8fcdc48c635"/>
      <w:r>
        <w:rPr>
          <w:rFonts w:hint="eastAsia" w:ascii="宋体" w:hAnsi="宋体" w:cs="宋体"/>
          <w:szCs w:val="21"/>
          <w:highlight w:val="none"/>
        </w:rPr>
        <w:t>/</w:t>
      </w:r>
      <w:bookmarkEnd w:id="69"/>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8. 材料与设备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8.4材料与工程设备的保管与使用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8.4.1发包人供应的材料设备的保管费用的承担：</w:t>
      </w:r>
    </w:p>
    <w:p>
      <w:pPr>
        <w:spacing w:line="440" w:lineRule="exact"/>
        <w:ind w:firstLine="420" w:firstLineChars="200"/>
        <w:rPr>
          <w:rFonts w:ascii="宋体" w:hAnsi="宋体" w:cs="宋体"/>
          <w:szCs w:val="21"/>
          <w:highlight w:val="none"/>
        </w:rPr>
      </w:pPr>
      <w:bookmarkStart w:id="70" w:name="EB5407bc9b0ec54d73b8a81bcf4e22502b"/>
      <w:r>
        <w:rPr>
          <w:rFonts w:hint="eastAsia" w:ascii="宋体" w:hAnsi="宋体" w:cs="宋体"/>
          <w:szCs w:val="21"/>
          <w:highlight w:val="none"/>
        </w:rPr>
        <w:t>由承包人承担</w:t>
      </w:r>
      <w:bookmarkEnd w:id="7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8.6 样品</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8.6.1样品的报送与封存</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需要承包人报送样品的材料或工程设备，样品的种类、名称、规格、数量要求：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应该对用于本工程中的各种工程材料、器材、设备按规范进行检查，严禁不符合要求的材料、器材、设备用于本工程。所有的材料进场前提供检测报告，并提供相应的有效期内的认证证书。承包人必须严格按照投标文件中确定的材料品种规格型号等进行供货，严禁擅自更改，若有材料品种与投标文件中不符，每一项罚款 2000 元，并要求无条件更换，同时承担相关责任。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8.8 施工设备和临时设施</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8.8.1 承包人提供的施工设备和临时设施</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关于修建临时设施费用承担的约定：</w:t>
      </w:r>
    </w:p>
    <w:p>
      <w:pPr>
        <w:spacing w:line="440" w:lineRule="exact"/>
        <w:ind w:firstLine="420" w:firstLineChars="200"/>
        <w:rPr>
          <w:rFonts w:ascii="宋体" w:hAnsi="宋体" w:cs="宋体"/>
          <w:szCs w:val="21"/>
          <w:highlight w:val="none"/>
        </w:rPr>
      </w:pPr>
      <w:bookmarkStart w:id="71" w:name="EB17e638eaca5c46088de627d8c19d2134"/>
      <w:r>
        <w:rPr>
          <w:rFonts w:hint="eastAsia" w:ascii="宋体" w:hAnsi="宋体" w:cs="宋体"/>
          <w:szCs w:val="21"/>
          <w:highlight w:val="none"/>
        </w:rPr>
        <w:t>由承包人承担</w:t>
      </w:r>
      <w:bookmarkEnd w:id="71"/>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9. 试验与检验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9.1试验设备与试验人员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9.1.2 试验设备</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施工现场需要配置的试验场所：</w:t>
      </w:r>
    </w:p>
    <w:p>
      <w:pPr>
        <w:spacing w:line="440" w:lineRule="exact"/>
        <w:ind w:firstLine="420" w:firstLineChars="200"/>
        <w:rPr>
          <w:rFonts w:ascii="宋体" w:hAnsi="宋体" w:cs="宋体"/>
          <w:szCs w:val="21"/>
          <w:highlight w:val="none"/>
        </w:rPr>
      </w:pPr>
      <w:bookmarkStart w:id="72" w:name="EB2fc0944d43f14a3587d8cce191442e92"/>
      <w:r>
        <w:rPr>
          <w:rFonts w:hint="eastAsia" w:ascii="宋体" w:hAnsi="宋体" w:cs="宋体"/>
          <w:szCs w:val="21"/>
          <w:highlight w:val="none"/>
        </w:rPr>
        <w:t>按工程需要或发包人要求提供</w:t>
      </w:r>
      <w:bookmarkEnd w:id="72"/>
      <w:r>
        <w:rPr>
          <w:rFonts w:hint="eastAsia" w:ascii="宋体" w:hAnsi="宋体" w:cs="宋体"/>
          <w:szCs w:val="21"/>
          <w:highlight w:val="none"/>
        </w:rPr>
        <w:t xml:space="preserve">。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施工现场需要配备的试验设备：</w:t>
      </w:r>
    </w:p>
    <w:p>
      <w:pPr>
        <w:spacing w:line="440" w:lineRule="exact"/>
        <w:ind w:firstLine="420" w:firstLineChars="200"/>
        <w:rPr>
          <w:rFonts w:ascii="宋体" w:hAnsi="宋体" w:cs="宋体"/>
          <w:szCs w:val="21"/>
          <w:highlight w:val="none"/>
        </w:rPr>
      </w:pPr>
      <w:bookmarkStart w:id="73" w:name="EB7b71231f0ce1488587d9287f325c4e9a"/>
      <w:r>
        <w:rPr>
          <w:rFonts w:hint="eastAsia" w:ascii="宋体" w:hAnsi="宋体" w:cs="宋体"/>
          <w:szCs w:val="21"/>
          <w:highlight w:val="none"/>
        </w:rPr>
        <w:t>按通用条款执行</w:t>
      </w:r>
      <w:bookmarkEnd w:id="73"/>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施工现场需要具备的其他试验条件：</w:t>
      </w:r>
      <w:bookmarkStart w:id="74" w:name="EB85441d9aa7bb4eed92aa74124736238f"/>
      <w:r>
        <w:rPr>
          <w:rFonts w:hint="eastAsia" w:ascii="宋体" w:hAnsi="宋体" w:cs="宋体"/>
          <w:szCs w:val="21"/>
          <w:highlight w:val="none"/>
        </w:rPr>
        <w:t>/</w:t>
      </w:r>
      <w:bookmarkEnd w:id="74"/>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9.4 现场工艺试验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现场工艺试验的有关约定：</w:t>
      </w:r>
      <w:bookmarkStart w:id="75" w:name="EB80d55ad9af87451e97eced3f425674eb"/>
      <w:r>
        <w:rPr>
          <w:rFonts w:hint="eastAsia" w:ascii="宋体" w:hAnsi="宋体" w:cs="宋体"/>
          <w:szCs w:val="21"/>
          <w:highlight w:val="none"/>
        </w:rPr>
        <w:t>/</w:t>
      </w:r>
      <w:bookmarkEnd w:id="75"/>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10. 变更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10.1变更的范围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关于变更的范围的约定：</w:t>
      </w:r>
    </w:p>
    <w:p>
      <w:pPr>
        <w:spacing w:line="440" w:lineRule="exact"/>
        <w:ind w:firstLine="420" w:firstLineChars="200"/>
        <w:rPr>
          <w:rFonts w:ascii="宋体" w:hAnsi="宋体" w:cs="宋体"/>
          <w:szCs w:val="21"/>
          <w:highlight w:val="none"/>
        </w:rPr>
      </w:pPr>
      <w:bookmarkStart w:id="76" w:name="EBb8e2bff0116b4b0c83e254d6285580fb"/>
      <w:r>
        <w:rPr>
          <w:rFonts w:hint="eastAsia" w:ascii="宋体" w:hAnsi="宋体" w:cs="宋体"/>
          <w:szCs w:val="21"/>
          <w:highlight w:val="none"/>
        </w:rPr>
        <w:t>施工中出现施工图纸（含设计变更）与工程量清单项目特征描述不符的，或因分部分项工程量清单漏项或非承包人原因的工程变更、额外增加工作量以及工程签证，造成增加新的工程量清单项目。变更的范围需严格按照上述约定执行，否则发包人不予确认</w:t>
      </w:r>
      <w:bookmarkEnd w:id="76"/>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10.4 变更估价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10.4.1 变更估价原则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关于变更估价的约定:</w:t>
      </w:r>
    </w:p>
    <w:p>
      <w:pPr>
        <w:spacing w:line="440" w:lineRule="exact"/>
        <w:ind w:firstLine="420" w:firstLineChars="200"/>
        <w:rPr>
          <w:rFonts w:ascii="宋体" w:hAnsi="宋体" w:cs="宋体"/>
          <w:szCs w:val="21"/>
          <w:highlight w:val="none"/>
          <w:u w:val="single"/>
        </w:rPr>
      </w:pPr>
      <w:bookmarkStart w:id="77" w:name="EBf5e54e3c3e73461a9396a94695157b18"/>
      <w:r>
        <w:rPr>
          <w:rFonts w:hint="eastAsia" w:ascii="宋体" w:hAnsi="宋体" w:cs="宋体"/>
          <w:szCs w:val="21"/>
          <w:highlight w:val="none"/>
        </w:rPr>
        <w:t>工程量清单中漏项、新增或变更项目（含材料）引起的分部分项工程综合单价结算原则为：投标报价中有适用的综合单价的，按投标综合单价结算。投标报价中只有类似于变更工程的价格，可参照原投标书中类似项目价格组成同口径进行结算。投标报价中无适用或类似综合单价的，结算原则为：依据《建设工程工程量清单计价规范》GB50500-2013、现行计价定额、2014《江苏省建设工程费用定额》等计价规范及文件规定编制综合单价，其中材料价格按施工当期除税指导价（信息价中没有的材料，价格的确定按照暂定价材料价格的确定方式确定）；根据上述要求编制综合单价并按投标报价（扣除暂列金额及相应的规费税金）/对应招标控制价（扣除暂列金额及相应的规费税金）同比例优惠让利，经监理、跟踪审计以及发包人审定后作为结算依据</w:t>
      </w:r>
      <w:bookmarkEnd w:id="7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10.5承包人的合理化建议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监理人审查承包人合理化建议的期限：另行商定。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发包人审批承包人合理化建议的期限：另行商定。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承包人提出的合理化建议降低了合同价格或者提高了工程经济效益的奖励的方法和金额为：</w:t>
      </w:r>
      <w:bookmarkStart w:id="78" w:name="EB5f3cd580a6d44a4984fdf945e4264319"/>
      <w:r>
        <w:rPr>
          <w:rFonts w:hint="eastAsia" w:ascii="宋体" w:hAnsi="宋体" w:cs="宋体"/>
          <w:szCs w:val="21"/>
          <w:highlight w:val="none"/>
        </w:rPr>
        <w:t>/</w:t>
      </w:r>
      <w:bookmarkEnd w:id="78"/>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10.7 暂估价</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暂估价材料和工程设备的明细详见附件11：《</w:t>
      </w:r>
      <w:r>
        <w:rPr>
          <w:rFonts w:hint="eastAsia" w:ascii="宋体" w:hAnsi="宋体" w:cs="宋体"/>
          <w:szCs w:val="21"/>
          <w:highlight w:val="none"/>
        </w:rPr>
        <w:t>暂估价一览表》</w:t>
      </w:r>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10.7.1 依法必须招标的暂估价项目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对于依法必须招标的暂估价项目的确认和批准采取第/种方式确定。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10.7.2 不属于依法必须招标的暂估价项目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对于不属于依法必须招标的暂估价项目的确认和批准采取第/种方式确定。</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第3种方式：</w:t>
      </w:r>
      <w:r>
        <w:rPr>
          <w:rFonts w:hint="eastAsia" w:ascii="宋体" w:hAnsi="宋体" w:cs="宋体"/>
          <w:kern w:val="0"/>
          <w:szCs w:val="21"/>
          <w:highlight w:val="none"/>
        </w:rPr>
        <w:t>承包人直接实施的暂估价项目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承包人直接实施的暂估价项目的约定：/。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10.8 暂列金额</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合同当事人关于暂列金额使用的约定：</w:t>
      </w:r>
    </w:p>
    <w:p>
      <w:pPr>
        <w:spacing w:line="440" w:lineRule="exact"/>
        <w:ind w:firstLine="420" w:firstLineChars="200"/>
        <w:rPr>
          <w:rFonts w:ascii="宋体" w:hAnsi="宋体" w:cs="宋体"/>
          <w:kern w:val="0"/>
          <w:szCs w:val="21"/>
          <w:highlight w:val="none"/>
        </w:rPr>
      </w:pPr>
      <w:bookmarkStart w:id="79" w:name="EB73acb3603cd34704b510849815d0f5b7"/>
      <w:r>
        <w:rPr>
          <w:rFonts w:hint="eastAsia" w:ascii="宋体" w:hAnsi="宋体" w:cs="宋体"/>
          <w:kern w:val="0"/>
          <w:szCs w:val="21"/>
          <w:highlight w:val="none"/>
        </w:rPr>
        <w:t>暂列金额是指发包人为可能发生工程变更而暂列的金额，由发包人自行确定设立，承包人无权使用此笔费用。此费用按实际发生经发包人签证后确定全部使用、部分使用或不使用。暂列金额不计入工程款付款的基数</w:t>
      </w:r>
      <w:bookmarkEnd w:id="79"/>
      <w:r>
        <w:rPr>
          <w:rFonts w:hint="eastAsia" w:ascii="宋体" w:hAnsi="宋体" w:cs="宋体"/>
          <w:kern w:val="0"/>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11. 价格调整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11.1 市场价格波动引起的调整</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市场价格波动是否调整合同价格的约定：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合同约定的市场风险范围内综合单价不调整。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因市场价格波动调整合同价格，采用以下第3 种方式对合同价格进行调整：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第1种方式：采用价格指数进行价格调整。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关于各可调因子、定值和变值权重，以及基本价格指数及其来源的约定：/；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第2种方式：采用造价信息进行价格调整。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（2）关于基准价格的约定：/。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③承包人在已标价工程量清单或预算书中载明的材料单价等于基准单价的：专用合同条款合同履行期间材料单价涨跌幅以基准单价为基础超过±/%时，其超过部分据实调整。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第3种方式：其他价格调整方式：合同综合单价不作调整。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 合同价格、计量与支付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12.1 合同价格形式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1、单价合同。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综合单价包含的风险范围：</w:t>
      </w:r>
      <w:bookmarkStart w:id="80" w:name="EB4418686cc6884a53a85c76713746c1f6"/>
      <w:r>
        <w:rPr>
          <w:rFonts w:hint="eastAsia" w:ascii="宋体" w:hAnsi="宋体" w:cs="宋体"/>
          <w:szCs w:val="21"/>
          <w:highlight w:val="none"/>
        </w:rPr>
        <w:t>详见补充条款</w:t>
      </w:r>
      <w:bookmarkEnd w:id="8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风险费用的计算方法：详见补充条款。</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w:t>
      </w:r>
      <w:bookmarkStart w:id="81" w:name="EB80009068e42d491b96b22fec4208d62f"/>
      <w:r>
        <w:rPr>
          <w:rFonts w:hint="eastAsia" w:ascii="宋体" w:hAnsi="宋体" w:cs="宋体"/>
          <w:szCs w:val="21"/>
          <w:highlight w:val="none"/>
        </w:rPr>
        <w:t>详见补充条款</w:t>
      </w:r>
      <w:bookmarkEnd w:id="81"/>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2、总价合同。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总价包含的风险范围：</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风险费用的计算方法：</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3、其他价格方式：</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12.2 预付款</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12.2.1 预付款的支付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预付款支付比例或金额：</w:t>
      </w:r>
    </w:p>
    <w:p>
      <w:pPr>
        <w:spacing w:line="440" w:lineRule="exact"/>
        <w:ind w:firstLine="420" w:firstLineChars="200"/>
        <w:rPr>
          <w:rFonts w:ascii="宋体" w:hAnsi="宋体" w:cs="宋体"/>
          <w:szCs w:val="21"/>
          <w:highlight w:val="none"/>
        </w:rPr>
      </w:pPr>
      <w:bookmarkStart w:id="82" w:name="EBf81c39d45c6147c790c8bf47a1d4e31a"/>
      <w:r>
        <w:rPr>
          <w:rFonts w:hint="eastAsia" w:ascii="宋体" w:hAnsi="宋体" w:cs="宋体"/>
          <w:szCs w:val="21"/>
          <w:highlight w:val="none"/>
        </w:rPr>
        <w:t>详见补充条款</w:t>
      </w:r>
      <w:bookmarkEnd w:id="82"/>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预付款扣回的方式：</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12.2.2 预付款担保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 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12.3.1 计量原则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工程量计算规则：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执行国家标准《建设工程工程量清单计价规范》(GB50500-2013)或其适用的修订版本，承包人实际完成的工程量按约定的工程量计算规则和有合同约束力的图纸进行计量。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12.3.2 计量周期</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关于计量周期的约定：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12.3.3 单价合同的计量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关于单价合同计量的约定：</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12.3.4 总价合同的计量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关于总价合同计量的约定：</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12.3.5总价合同采用支付分解表计量支付的，是否适用第</w:t>
      </w:r>
      <w:r>
        <w:rPr>
          <w:rFonts w:hint="eastAsia" w:ascii="宋体" w:hAnsi="宋体" w:cs="宋体"/>
          <w:kern w:val="0"/>
          <w:szCs w:val="21"/>
          <w:highlight w:val="none"/>
        </w:rPr>
        <w:t xml:space="preserve">12.3.4 </w:t>
      </w:r>
      <w:r>
        <w:rPr>
          <w:rFonts w:hint="eastAsia" w:ascii="宋体" w:hAnsi="宋体" w:cs="宋体"/>
          <w:szCs w:val="21"/>
          <w:highlight w:val="none"/>
        </w:rPr>
        <w:t>项</w:t>
      </w:r>
      <w:r>
        <w:rPr>
          <w:rFonts w:hint="eastAsia" w:ascii="宋体" w:hAnsi="宋体" w:cs="宋体"/>
          <w:kern w:val="0"/>
          <w:szCs w:val="21"/>
          <w:highlight w:val="none"/>
        </w:rPr>
        <w:t>〔总价合同的计量〕</w:t>
      </w:r>
      <w:r>
        <w:rPr>
          <w:rFonts w:hint="eastAsia" w:ascii="宋体" w:hAnsi="宋体" w:cs="宋体"/>
          <w:szCs w:val="21"/>
          <w:highlight w:val="none"/>
        </w:rPr>
        <w:t>约定进行计量：</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12.3.6 其他价格形式合同的计量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szCs w:val="21"/>
          <w:highlight w:val="none"/>
          <w:u w:val="single"/>
        </w:rPr>
        <w:t xml:space="preserve"> /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 工程进度款支付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12.4.1 付款周期</w:t>
      </w:r>
    </w:p>
    <w:p>
      <w:pPr>
        <w:spacing w:line="440" w:lineRule="exact"/>
        <w:ind w:firstLine="420" w:firstLineChars="200"/>
        <w:rPr>
          <w:rFonts w:ascii="宋体" w:hAnsi="宋体" w:cs="宋体"/>
          <w:szCs w:val="21"/>
          <w:highlight w:val="none"/>
        </w:rPr>
      </w:pPr>
      <w:bookmarkStart w:id="83" w:name="EBd1c637fc8ad64dc59c21353e42e8a14e"/>
      <w:r>
        <w:rPr>
          <w:rFonts w:hint="eastAsia" w:ascii="宋体" w:hAnsi="宋体" w:cs="宋体"/>
          <w:szCs w:val="21"/>
          <w:highlight w:val="none"/>
        </w:rPr>
        <w:t>关于付款周期的约定：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（一）工程完成至合同工程量50%后，经审定后付至合同价（扣除暂列金额及其规费税金）的30%；</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（二）工程完工并经验收合格后支付至核定产值的80%；累计不超过合同总价（扣除暂列金及其规费税金）的80%</w:t>
      </w:r>
    </w:p>
    <w:p>
      <w:pPr>
        <w:spacing w:before="240" w:line="440" w:lineRule="exact"/>
        <w:ind w:firstLine="420" w:firstLineChars="200"/>
        <w:rPr>
          <w:rFonts w:ascii="宋体" w:hAnsi="宋体" w:cs="宋体"/>
          <w:szCs w:val="21"/>
          <w:highlight w:val="none"/>
        </w:rPr>
      </w:pPr>
      <w:r>
        <w:rPr>
          <w:rFonts w:hint="eastAsia" w:ascii="宋体" w:hAnsi="宋体" w:cs="宋体"/>
          <w:szCs w:val="21"/>
          <w:highlight w:val="none"/>
        </w:rPr>
        <w:t>（三）工程竣工验收合格，结算经审定后付至审定总价的97%；（若项目需国家政府相关部门审计的，则审定价最终以国家政府相关部门审定为准）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（四）3%保修金在保修期（工程竣工验收后两年）结束后一周内无息返还；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（五）乙方在申报工程款时应提供合规的增值税专用发票；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（六）以上工程进度款已包含农民工工资支付。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本工程农民工专项资金拨付根据国务院令第724号《保障农民工工资支付条例》、常住建规【2020】3号《常州市建筑工人实名制管理和工资支付保障实施办法（试行）》、常住建【2021】50 号《关于进一步明确常州市市政基础设施工程建筑工人实名制管理和工资支付保障相关要求的通知》、常人社发（2022）53 号关于印发《常州市工程建设领域农民工工资保证金管理细则》的通知文件要求执行。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付款要求：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1）承包人在申报工程款时应提供合规的增值税专用发票。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2）农民工工资支付按国务院令第724号《保障农民工工资支付条例》文件要求执行。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3)发包人根据合同专用条款约定支付工程款的时间误差尽量控制在30天以内，在此范围内，承包人不得停止施工且不得以此借口向发包人提出索赔。</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承包人在申报工程款时应提供合规的增值税专用发票</w:t>
      </w:r>
      <w:bookmarkEnd w:id="83"/>
      <w:r>
        <w:rPr>
          <w:rFonts w:hint="eastAsia" w:ascii="宋体" w:hAnsi="宋体" w:cs="宋体"/>
          <w:szCs w:val="21"/>
          <w:highlight w:val="none"/>
        </w:rPr>
        <w:t>。以上各阶段付款，承包人同意发包人按中国人民银行规定的各类结算方式进行结算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12.4.2 进度付款申请单的编制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关于进度付款申请单编制的约定：按发包人要求执行。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12.4.3 进度付款申请单的提交</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（1）单价合同进度付款申请单提交的约定：</w:t>
      </w:r>
      <w:bookmarkStart w:id="84" w:name="EB57bbb24d421044778213eda0de45fc3b"/>
      <w:r>
        <w:rPr>
          <w:rFonts w:hint="eastAsia" w:ascii="宋体" w:hAnsi="宋体" w:cs="宋体"/>
          <w:szCs w:val="21"/>
          <w:highlight w:val="none"/>
        </w:rPr>
        <w:t>按发包人要求执行</w:t>
      </w:r>
      <w:bookmarkEnd w:id="84"/>
      <w:r>
        <w:rPr>
          <w:rFonts w:hint="eastAsia" w:ascii="宋体" w:hAnsi="宋体" w:cs="宋体"/>
          <w:szCs w:val="21"/>
          <w:highlight w:val="none"/>
        </w:rPr>
        <w:t>。</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（2）总价合同进度付款申请单提交的约定：</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szCs w:val="21"/>
          <w:highlight w:val="none"/>
          <w:u w:val="single"/>
        </w:rPr>
        <w:t>/</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12.4.4 进度款审核和支付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（1）监理人审查并报送发包人的期限：按通用条款执行。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发包人完成审批并签发进度款支付证书的期限：按通用条款执行。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（2）发包人支付进度款的期限：按通用条款执行。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cs="宋体"/>
          <w:szCs w:val="21"/>
          <w:highlight w:val="none"/>
          <w:u w:val="single"/>
        </w:rPr>
        <w:t>/</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12.4.6 支付分解表的编制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w:t>
      </w:r>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3、单价合同的总价项目支付分解表的编制与审批：按通用条款执行。</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13. 验收和工程试车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13.1 分部分项工程验收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13.1.2监理人不能按时进行验收时，应提前24小时提交书面延期要求。</w:t>
      </w:r>
    </w:p>
    <w:p>
      <w:pPr>
        <w:spacing w:line="440" w:lineRule="exact"/>
        <w:ind w:firstLine="420" w:firstLineChars="200"/>
        <w:rPr>
          <w:rFonts w:ascii="宋体" w:hAnsi="宋体" w:cs="宋体"/>
          <w:b/>
          <w:szCs w:val="21"/>
          <w:highlight w:val="none"/>
        </w:rPr>
      </w:pPr>
      <w:r>
        <w:rPr>
          <w:rFonts w:hint="eastAsia" w:ascii="宋体" w:hAnsi="宋体" w:cs="宋体"/>
          <w:szCs w:val="21"/>
          <w:highlight w:val="none"/>
        </w:rPr>
        <w:t>关于延期最长不得超过：48小时。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13.2 竣工验收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13.2.2竣工验收程序</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关于竣工验收程序的约定：</w:t>
      </w:r>
      <w:bookmarkStart w:id="85" w:name="EBb1addf2049f94c24a664643d92d2ece8"/>
      <w:r>
        <w:rPr>
          <w:rFonts w:hint="eastAsia" w:ascii="宋体" w:hAnsi="宋体" w:cs="宋体"/>
          <w:szCs w:val="21"/>
          <w:highlight w:val="none"/>
        </w:rPr>
        <w:t>按通用条款执行</w:t>
      </w:r>
      <w:bookmarkEnd w:id="85"/>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发包人不按照本项约定组织竣工验收、颁发工程接收证书的违约金的计算方法：</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13.2.5移交、接收全部与部分工程</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承包人向发包人移交工程的期限：</w:t>
      </w:r>
      <w:bookmarkStart w:id="86" w:name="EB2bfbab407573420888f113a1516e6fd0"/>
      <w:r>
        <w:rPr>
          <w:rFonts w:hint="eastAsia" w:ascii="宋体" w:hAnsi="宋体" w:cs="宋体"/>
          <w:szCs w:val="21"/>
          <w:highlight w:val="none"/>
        </w:rPr>
        <w:t>按通用条款执行</w:t>
      </w:r>
      <w:bookmarkEnd w:id="86"/>
      <w:r>
        <w:rPr>
          <w:rFonts w:hint="eastAsia" w:ascii="宋体" w:hAnsi="宋体" w:cs="宋体"/>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发包人未按本合同约定接收全部或部分工程的，违约金的计算方法为：</w:t>
      </w:r>
      <w:bookmarkStart w:id="87" w:name="EB84e83a5d0b0e46af8cb4c46528cb49da"/>
      <w:r>
        <w:rPr>
          <w:rFonts w:hint="eastAsia" w:ascii="宋体" w:hAnsi="宋体" w:cs="宋体"/>
          <w:szCs w:val="21"/>
          <w:highlight w:val="none"/>
          <w:u w:val="single"/>
        </w:rPr>
        <w:t>/</w:t>
      </w:r>
      <w:bookmarkEnd w:id="87"/>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承包人未按时移交工程的，违约金的计算方法为：按通用条款执行。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13.3 工程试车</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13.3.1 试车程序</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工程试车内容：</w:t>
      </w:r>
      <w:r>
        <w:rPr>
          <w:rFonts w:hint="eastAsia" w:ascii="宋体" w:hAnsi="宋体" w:cs="宋体"/>
          <w:szCs w:val="21"/>
          <w:highlight w:val="none"/>
        </w:rPr>
        <w:t>按通用条款执行。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（1）单机无负荷试车费用由承包人承担；</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（2）无负荷联动试车费用由承包人承担。</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13.3.3 投料试车</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关于投料试车相关事项的约定：</w:t>
      </w:r>
      <w:r>
        <w:rPr>
          <w:rFonts w:hint="eastAsia" w:ascii="宋体" w:hAnsi="宋体" w:cs="宋体"/>
          <w:szCs w:val="21"/>
          <w:highlight w:val="none"/>
        </w:rPr>
        <w:t>按通用条款执行。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13.6 竣工退场</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13.6.1 竣工退场</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承包人完成竣工退场的期限：</w:t>
      </w:r>
      <w:bookmarkStart w:id="88" w:name="EB468bcad454d74207b82c54a812f80be8"/>
      <w:r>
        <w:rPr>
          <w:rFonts w:hint="eastAsia" w:ascii="宋体" w:hAnsi="宋体" w:cs="宋体"/>
          <w:kern w:val="0"/>
          <w:szCs w:val="21"/>
          <w:highlight w:val="none"/>
        </w:rPr>
        <w:t>工程移交后7日内</w:t>
      </w:r>
      <w:bookmarkEnd w:id="88"/>
      <w:r>
        <w:rPr>
          <w:rFonts w:hint="eastAsia" w:ascii="宋体" w:hAnsi="宋体" w:cs="宋体"/>
          <w:kern w:val="0"/>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14. 竣工结算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14.1 竣工结算申请</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承包人提交竣工结算申请单的期限：按发包人要求执行。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竣工结算申请单应包括的内容：按发包人要求执行。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14.2 竣工结算审核</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发包人审批竣工付款申请单的期限：</w:t>
      </w:r>
      <w:bookmarkStart w:id="89" w:name="EBf69cc873eaf54ca9a0fd33756b9b975e"/>
      <w:r>
        <w:rPr>
          <w:rFonts w:hint="eastAsia" w:ascii="宋体" w:hAnsi="宋体" w:cs="宋体"/>
          <w:szCs w:val="21"/>
          <w:highlight w:val="none"/>
        </w:rPr>
        <w:t>/</w:t>
      </w:r>
      <w:bookmarkEnd w:id="89"/>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发包人完成竣工付款的期限：</w:t>
      </w:r>
      <w:bookmarkStart w:id="90" w:name="EB83014979496345abaf93a6a7ff09f1b9"/>
      <w:r>
        <w:rPr>
          <w:rFonts w:hint="eastAsia" w:ascii="宋体" w:hAnsi="宋体" w:cs="宋体"/>
          <w:szCs w:val="21"/>
          <w:highlight w:val="none"/>
        </w:rPr>
        <w:t>/</w:t>
      </w:r>
      <w:bookmarkEnd w:id="90"/>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关于竣工付款证书异议部分复核的方式和程序：</w:t>
      </w:r>
      <w:bookmarkStart w:id="91" w:name="EB95f76ec970304a42bd92783367146a53"/>
      <w:r>
        <w:rPr>
          <w:rFonts w:hint="eastAsia" w:ascii="宋体" w:hAnsi="宋体" w:cs="宋体"/>
          <w:szCs w:val="21"/>
          <w:highlight w:val="none"/>
        </w:rPr>
        <w:t>/</w:t>
      </w:r>
      <w:bookmarkEnd w:id="91"/>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14.4 最终结清</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14.4.1 最终结清申请单</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承包人提交最终结清申请单的份数：</w:t>
      </w:r>
      <w:bookmarkStart w:id="92" w:name="EB2cf8fc1b04584cbd9a297939d446dd8a"/>
      <w:r>
        <w:rPr>
          <w:rFonts w:hint="eastAsia" w:ascii="宋体" w:hAnsi="宋体" w:cs="宋体"/>
          <w:szCs w:val="21"/>
          <w:highlight w:val="none"/>
        </w:rPr>
        <w:t>按发包人要求执行</w:t>
      </w:r>
      <w:bookmarkEnd w:id="92"/>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承包人提交最终结算申请单的期限：</w:t>
      </w:r>
      <w:r>
        <w:rPr>
          <w:rFonts w:hint="eastAsia" w:ascii="宋体" w:hAnsi="宋体" w:cs="宋体"/>
          <w:szCs w:val="21"/>
          <w:highlight w:val="none"/>
        </w:rPr>
        <w:t xml:space="preserve">按发包人要求执行。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14.4.2 最终结清证书和支付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（1）发包人完成最终结清申请单的审批并颁发最终结清证书的期限：</w:t>
      </w:r>
      <w:bookmarkStart w:id="93" w:name="EB4620c29ee7e44b92a4a3f24f9ccf1a03"/>
      <w:r>
        <w:rPr>
          <w:rFonts w:hint="eastAsia" w:ascii="宋体" w:hAnsi="宋体" w:cs="宋体"/>
          <w:szCs w:val="21"/>
          <w:highlight w:val="none"/>
        </w:rPr>
        <w:t>/</w:t>
      </w:r>
      <w:bookmarkEnd w:id="93"/>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（2）发包人完成支付的期限：</w:t>
      </w:r>
      <w:bookmarkStart w:id="94" w:name="EB7fbb112927954524adc141c3df4abcb0"/>
      <w:r>
        <w:rPr>
          <w:rFonts w:hint="eastAsia" w:ascii="宋体" w:hAnsi="宋体" w:cs="宋体"/>
          <w:szCs w:val="21"/>
          <w:highlight w:val="none"/>
        </w:rPr>
        <w:t>/</w:t>
      </w:r>
      <w:bookmarkEnd w:id="94"/>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15. 缺陷责任期与保修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15.2缺陷责任期</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缺陷责任期的具体期限：</w:t>
      </w:r>
      <w:bookmarkStart w:id="95" w:name="EB994fcc4f121340339b9f99394224ea0e"/>
      <w:r>
        <w:rPr>
          <w:rFonts w:hint="eastAsia" w:ascii="宋体" w:hAnsi="宋体" w:cs="宋体"/>
          <w:szCs w:val="21"/>
          <w:highlight w:val="none"/>
        </w:rPr>
        <w:t>（详见质量保修书）</w:t>
      </w:r>
      <w:bookmarkEnd w:id="95"/>
      <w:r>
        <w:rPr>
          <w:rFonts w:hint="eastAsia" w:ascii="宋体" w:hAnsi="宋体" w:cs="宋体"/>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15.3 质量保证金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关于是否扣留质量保证金的约定：（详见质量保修书）。在工程项目竣工前，承包人按专用合同条款第3.7条提供履约担保的，发包人不得同时预留工程质量保证金。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15.3.1 承包人提供质量保证金的方式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质量保证金采用以下第</w:t>
      </w:r>
      <w:bookmarkStart w:id="96" w:name="EBe1bc7b425f6f467c834615717be99af2"/>
      <w:r>
        <w:rPr>
          <w:rFonts w:hint="eastAsia" w:ascii="宋体" w:hAnsi="宋体" w:cs="宋体"/>
          <w:szCs w:val="21"/>
          <w:highlight w:val="none"/>
        </w:rPr>
        <w:t>2</w:t>
      </w:r>
      <w:bookmarkEnd w:id="96"/>
      <w:r>
        <w:rPr>
          <w:rFonts w:hint="eastAsia" w:ascii="宋体" w:hAnsi="宋体" w:cs="宋体"/>
          <w:szCs w:val="21"/>
          <w:highlight w:val="none"/>
        </w:rPr>
        <w:t>种方式：</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（1）质量保证金保函，保证金额为：/； </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（2）结算审定价3%的工程款；</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（3）其他方式:</w:t>
      </w:r>
      <w:bookmarkStart w:id="97" w:name="EBa6924f5a339b42cb90fb82b3e5c99f4a"/>
      <w:r>
        <w:rPr>
          <w:rFonts w:hint="eastAsia" w:ascii="宋体" w:hAnsi="宋体" w:cs="宋体"/>
          <w:kern w:val="0"/>
          <w:szCs w:val="21"/>
          <w:highlight w:val="none"/>
        </w:rPr>
        <w:t>/</w:t>
      </w:r>
      <w:bookmarkEnd w:id="97"/>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15.3.2 质量保证金的扣留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质量保证金的扣留采取以下第3种方式：</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（1）在支付工程进度款时逐次扣留，在此情形下，质量保证金的计算基数不包括预付款的支付、扣回以及价格调整的金额；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（2）工程竣工结算时一次性扣留质量保证金；</w:t>
      </w:r>
    </w:p>
    <w:p>
      <w:pPr>
        <w:spacing w:line="44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（3）其他扣留方式:</w:t>
      </w:r>
      <w:r>
        <w:rPr>
          <w:rFonts w:hint="eastAsia" w:ascii="宋体" w:hAnsi="宋体" w:cs="宋体"/>
          <w:kern w:val="0"/>
          <w:szCs w:val="21"/>
          <w:highlight w:val="none"/>
          <w:u w:val="single"/>
        </w:rPr>
        <w:t xml:space="preserve"> </w:t>
      </w:r>
    </w:p>
    <w:p>
      <w:pPr>
        <w:spacing w:line="440" w:lineRule="exact"/>
        <w:ind w:firstLine="420" w:firstLineChars="200"/>
        <w:rPr>
          <w:rFonts w:ascii="宋体" w:hAnsi="宋体" w:cs="宋体"/>
          <w:kern w:val="0"/>
          <w:szCs w:val="21"/>
          <w:highlight w:val="none"/>
        </w:rPr>
      </w:pPr>
      <w:bookmarkStart w:id="98" w:name="EB9f7acce10bfb4a5dbe0faeba37f5f916"/>
      <w:r>
        <w:rPr>
          <w:rFonts w:hint="eastAsia" w:ascii="宋体" w:hAnsi="宋体" w:cs="宋体"/>
          <w:kern w:val="0"/>
          <w:szCs w:val="21"/>
          <w:highlight w:val="none"/>
        </w:rPr>
        <w:t>详见专用条款12.4.1</w:t>
      </w:r>
      <w:bookmarkEnd w:id="98"/>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u w:val="single"/>
        </w:rPr>
      </w:pPr>
      <w:r>
        <w:rPr>
          <w:rFonts w:hint="eastAsia" w:ascii="宋体" w:hAnsi="宋体" w:cs="宋体"/>
          <w:szCs w:val="21"/>
          <w:highlight w:val="none"/>
        </w:rPr>
        <w:t>关于质量保证金的补充约定：</w:t>
      </w:r>
      <w:bookmarkStart w:id="99" w:name="EB4ca64e85b132426bb66d2cd18b2f7c93"/>
      <w:r>
        <w:rPr>
          <w:rFonts w:hint="eastAsia" w:ascii="宋体" w:hAnsi="宋体" w:cs="宋体"/>
          <w:kern w:val="0"/>
          <w:szCs w:val="21"/>
          <w:highlight w:val="none"/>
        </w:rPr>
        <w:t>/</w:t>
      </w:r>
      <w:bookmarkEnd w:id="99"/>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15.4保修</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15.4.1 保修责任</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工程保修期为：</w:t>
      </w:r>
    </w:p>
    <w:p>
      <w:pPr>
        <w:spacing w:line="440" w:lineRule="exact"/>
        <w:ind w:firstLine="420" w:firstLineChars="200"/>
        <w:rPr>
          <w:rFonts w:ascii="宋体" w:hAnsi="宋体" w:cs="宋体"/>
          <w:kern w:val="0"/>
          <w:szCs w:val="21"/>
          <w:highlight w:val="none"/>
        </w:rPr>
      </w:pPr>
      <w:bookmarkStart w:id="100" w:name="EB3e54ae5364cd4a3b8000d683d8c3361a"/>
      <w:r>
        <w:rPr>
          <w:rFonts w:hint="eastAsia" w:ascii="宋体" w:hAnsi="宋体" w:cs="宋体"/>
          <w:kern w:val="0"/>
          <w:szCs w:val="21"/>
          <w:highlight w:val="none"/>
        </w:rPr>
        <w:t>满足建设部(2000)80号令《房屋建筑工程质量保修办法》规定</w:t>
      </w:r>
      <w:bookmarkEnd w:id="100"/>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15.4.3 修复通知</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承包人收到保修通知并到达工程现场的合理时间：</w:t>
      </w:r>
      <w:bookmarkStart w:id="101" w:name="EB98cbf1e3677f4b6db7ccc7db11471ee5"/>
      <w:r>
        <w:rPr>
          <w:rFonts w:hint="eastAsia" w:ascii="宋体" w:hAnsi="宋体" w:cs="宋体"/>
          <w:kern w:val="0"/>
          <w:szCs w:val="21"/>
          <w:highlight w:val="none"/>
        </w:rPr>
        <w:t>24小时以内</w:t>
      </w:r>
      <w:bookmarkEnd w:id="101"/>
      <w:r>
        <w:rPr>
          <w:rFonts w:hint="eastAsia" w:ascii="宋体" w:hAnsi="宋体" w:cs="宋体"/>
          <w:kern w:val="0"/>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16. 违约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16.1 发包人违约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16.1.1发包人违约的情形</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发包人违约的其他情形：</w:t>
      </w:r>
    </w:p>
    <w:p>
      <w:pPr>
        <w:spacing w:line="440" w:lineRule="exact"/>
        <w:ind w:firstLine="420" w:firstLineChars="200"/>
        <w:rPr>
          <w:rFonts w:ascii="宋体" w:hAnsi="宋体" w:cs="宋体"/>
          <w:kern w:val="0"/>
          <w:szCs w:val="21"/>
          <w:highlight w:val="none"/>
        </w:rPr>
      </w:pPr>
      <w:bookmarkStart w:id="102" w:name="EB050b92f0630b4c2b84948a9bc2a104c1"/>
      <w:r>
        <w:rPr>
          <w:rFonts w:hint="eastAsia" w:ascii="宋体" w:hAnsi="宋体" w:cs="宋体"/>
          <w:kern w:val="0"/>
          <w:szCs w:val="21"/>
          <w:highlight w:val="none"/>
        </w:rPr>
        <w:t>若因发包人上级主管部门政策性变化等特殊原因，造成本工程停建或缓建时，发包人只对已发生的合格工程量负责，根据已发生的合格工程量与承包人办理结算，不承担其它违约责任</w:t>
      </w:r>
      <w:bookmarkEnd w:id="102"/>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16.1.2 发包人违约的责任</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发包人违约责任的承担方式和计算方法：</w:t>
      </w:r>
    </w:p>
    <w:p>
      <w:pPr>
        <w:spacing w:line="44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（1）因发包人原因未能在计划开工日期前7天内下达开工通知的违约责任：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（2）因发包人原因未能按合同约定支付合同价款的违约责任：</w:t>
      </w:r>
      <w:r>
        <w:rPr>
          <w:rFonts w:hint="eastAsia" w:ascii="宋体" w:hAnsi="宋体" w:cs="宋体"/>
          <w:kern w:val="0"/>
          <w:szCs w:val="21"/>
          <w:highlight w:val="none"/>
          <w:u w:val="single"/>
        </w:rPr>
        <w:t>/</w:t>
      </w:r>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（3）发包人违反第10.1款〔变更的范围〕第（2）项约定，自行实施被取消的工作或转由他人实施的违约责任：</w:t>
      </w:r>
      <w:r>
        <w:rPr>
          <w:rFonts w:hint="eastAsia" w:ascii="宋体" w:hAnsi="宋体" w:cs="宋体"/>
          <w:kern w:val="0"/>
          <w:szCs w:val="21"/>
          <w:highlight w:val="none"/>
          <w:u w:val="single"/>
        </w:rPr>
        <w:t>/</w:t>
      </w:r>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kern w:val="0"/>
          <w:szCs w:val="21"/>
          <w:highlight w:val="none"/>
          <w:u w:val="single"/>
        </w:rPr>
        <w:t>/</w:t>
      </w:r>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（5）因发包人违反合同约定造成暂停施工的违约责任：</w:t>
      </w:r>
      <w:r>
        <w:rPr>
          <w:rFonts w:hint="eastAsia" w:ascii="宋体" w:hAnsi="宋体" w:cs="宋体"/>
          <w:kern w:val="0"/>
          <w:szCs w:val="21"/>
          <w:highlight w:val="none"/>
          <w:u w:val="single"/>
        </w:rPr>
        <w:t>/</w:t>
      </w:r>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（6）发包人无正当理由没有在约定期限内发出复工指示，导致承包人无法复工的违约责任：</w:t>
      </w:r>
      <w:r>
        <w:rPr>
          <w:rFonts w:hint="eastAsia" w:ascii="宋体" w:hAnsi="宋体" w:cs="宋体"/>
          <w:kern w:val="0"/>
          <w:szCs w:val="21"/>
          <w:highlight w:val="none"/>
          <w:u w:val="singl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（7）其他：</w:t>
      </w:r>
      <w:r>
        <w:rPr>
          <w:rFonts w:hint="eastAsia" w:ascii="宋体" w:hAnsi="宋体" w:cs="宋体"/>
          <w:kern w:val="0"/>
          <w:szCs w:val="21"/>
          <w:highlight w:val="none"/>
          <w:u w:val="single"/>
        </w:rPr>
        <w:t>/</w:t>
      </w:r>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16.1.3 因发包人违约解除合同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承包人按16.1.1项〔发包人违约的情形〕约定暂停施工满/天后发包人仍不纠正其违约行为并致使合同目的不能实现的，承包人有权解除合同。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16.2 承包人违约</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16.2.1 承包人违约的情形</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承包人违约的其他情形：</w:t>
      </w:r>
      <w:bookmarkStart w:id="103" w:name="EB4c8b4fd4474c4fbda58ee32dc64d65c5"/>
      <w:r>
        <w:rPr>
          <w:rFonts w:hint="eastAsia" w:ascii="宋体" w:hAnsi="宋体" w:cs="宋体"/>
          <w:kern w:val="0"/>
          <w:szCs w:val="21"/>
          <w:highlight w:val="none"/>
        </w:rPr>
        <w:t>按通用条款执行</w:t>
      </w:r>
      <w:bookmarkEnd w:id="103"/>
      <w:r>
        <w:rPr>
          <w:rFonts w:hint="eastAsia" w:ascii="宋体" w:hAnsi="宋体" w:cs="宋体"/>
          <w:kern w:val="0"/>
          <w:szCs w:val="21"/>
          <w:highlight w:val="none"/>
        </w:rPr>
        <w:t>。</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16.2.2承包人违约的责任</w:t>
      </w:r>
    </w:p>
    <w:p>
      <w:pPr>
        <w:spacing w:line="44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承包人违约责任的承担方式和计算方法：双方另行协商。</w:t>
      </w:r>
      <w:r>
        <w:rPr>
          <w:rFonts w:hint="eastAsia" w:ascii="宋体" w:hAnsi="宋体" w:cs="宋体"/>
          <w:szCs w:val="21"/>
          <w:highlight w:val="none"/>
        </w:rPr>
        <w:t xml:space="preserve">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16.2.3 因承包人违约解除合同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关于承包人违约解除合同的特别约定：按通用条款执行。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本合同签订后、尚未履行前，若发包人发现承包人同时存在3起及以上作为被执行人的案件，或者承包人被列入限制高消费名单，或者承包人作为被执行人的单个案件金额超过本合同预付款金额，均视为承包人不具备继续履行本合同义务的能力，发包人有权单方解除本合同。</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若本合同已经履行后发现承包人存在上述任何一种情形，发包人有权要求承包人缴纳不低于合同总金额30%的履约保证金，若承包人在合理期限内不能化解债务，则发包人有权单方面解除本合同，对于承包人已经施工部分，由发包人委托第三方机构进行审计，审计费用由承包人承担，从发包人应付承包人工程款中扣除。若不存在应付工程款，则由承包人直接支付审计费用给第三方；若承包人不予配合，则视为对之前施工的工程量予以放弃。</w:t>
      </w:r>
    </w:p>
    <w:p>
      <w:pPr>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发包人继续使用承包人在施工现场的材料、设备、临时工程、承包人文件和由承包人或以其名义编制的其他文件的费用承担方式：无偿使用。</w:t>
      </w:r>
    </w:p>
    <w:p>
      <w:pPr>
        <w:spacing w:line="440" w:lineRule="exact"/>
        <w:ind w:firstLine="420" w:firstLineChars="200"/>
        <w:rPr>
          <w:rFonts w:ascii="宋体" w:hAnsi="宋体" w:cs="宋体"/>
          <w:szCs w:val="21"/>
          <w:highlight w:val="none"/>
          <w:lang w:eastAsia="zh-Hans"/>
        </w:rPr>
      </w:pPr>
      <w:r>
        <w:rPr>
          <w:rFonts w:hint="eastAsia" w:ascii="宋体" w:hAnsi="宋体" w:cs="宋体"/>
          <w:szCs w:val="21"/>
          <w:highlight w:val="none"/>
        </w:rPr>
        <w:t>16</w:t>
      </w:r>
      <w:r>
        <w:rPr>
          <w:rFonts w:hint="eastAsia" w:ascii="宋体" w:hAnsi="宋体" w:cs="宋体"/>
          <w:szCs w:val="21"/>
          <w:highlight w:val="none"/>
          <w:lang w:eastAsia="zh-Hans"/>
        </w:rPr>
        <w:t>.3守约方主张债权产生的费用（包括但不限于诉讼费/仲裁费、律师费、保全费、保全担保费、执行费等）全部由违约方承担。</w:t>
      </w:r>
    </w:p>
    <w:p>
      <w:pPr>
        <w:spacing w:line="440" w:lineRule="exact"/>
        <w:ind w:firstLine="420" w:firstLineChars="200"/>
        <w:rPr>
          <w:rFonts w:ascii="宋体" w:hAnsi="宋体" w:cs="宋体"/>
          <w:kern w:val="0"/>
          <w:szCs w:val="21"/>
          <w:highlight w:val="none"/>
        </w:rPr>
      </w:pP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 xml:space="preserve">17. 不可抗力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17.1 不可抗力的确认</w:t>
      </w:r>
    </w:p>
    <w:p>
      <w:pPr>
        <w:spacing w:line="440" w:lineRule="exact"/>
        <w:ind w:firstLine="420" w:firstLineChars="200"/>
        <w:rPr>
          <w:rFonts w:ascii="宋体" w:hAnsi="宋体" w:cs="宋体"/>
          <w:kern w:val="0"/>
          <w:szCs w:val="21"/>
          <w:highlight w:val="none"/>
          <w:u w:val="single"/>
        </w:rPr>
      </w:pPr>
      <w:r>
        <w:rPr>
          <w:rFonts w:hint="eastAsia" w:ascii="宋体" w:hAnsi="宋体" w:cs="宋体"/>
          <w:szCs w:val="21"/>
          <w:highlight w:val="none"/>
        </w:rPr>
        <w:t>除通用合同条款约定的不可抗力事件之外，视为不可抗力的其他情形：</w:t>
      </w:r>
      <w:r>
        <w:rPr>
          <w:rFonts w:hint="eastAsia" w:ascii="宋体" w:hAnsi="宋体" w:cs="宋体"/>
          <w:kern w:val="0"/>
          <w:szCs w:val="21"/>
          <w:highlight w:val="none"/>
        </w:rPr>
        <w:t>因战争、动乱、空中飞行物体坠落或其他非发包方承包方责任造成的爆炸、火灾，以及自然灾害。</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17.4 因不可抗力解除合同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合同解除后，发包人应在商定或确定发包人应支付款项后</w:t>
      </w:r>
      <w:bookmarkStart w:id="104" w:name="EB59c4c224e6394eb981c10e1d1812ff73"/>
      <w:bookmarkEnd w:id="104"/>
      <w:r>
        <w:rPr>
          <w:rFonts w:hint="eastAsia" w:ascii="宋体" w:hAnsi="宋体" w:cs="宋体"/>
          <w:szCs w:val="21"/>
          <w:highlight w:val="none"/>
        </w:rPr>
        <w:t>天内完成款项的支付。</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18. 保险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18.1 工程保险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关于工程保险的特别约定：</w:t>
      </w:r>
    </w:p>
    <w:p>
      <w:pPr>
        <w:spacing w:line="440" w:lineRule="exact"/>
        <w:ind w:firstLine="420" w:firstLineChars="200"/>
        <w:rPr>
          <w:rFonts w:ascii="宋体" w:hAnsi="宋体" w:cs="宋体"/>
          <w:szCs w:val="21"/>
          <w:highlight w:val="none"/>
        </w:rPr>
      </w:pPr>
      <w:r>
        <w:rPr>
          <w:rFonts w:hint="eastAsia" w:ascii="宋体" w:hAnsi="宋体" w:cs="宋体"/>
          <w:kern w:val="0"/>
          <w:szCs w:val="21"/>
          <w:highlight w:val="none"/>
        </w:rPr>
        <w:t>承包人必须按国家相关规定为从事危险作业的职工办理意外伤害保险、第三方人身以及其它依据国家、江苏省、常州市有关法律、法规、规章、规范性文件应当办理的人身、财产保险，否则发包人有权从工程款中代扣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18.3 其他保险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关于其他保险的约定：</w:t>
      </w:r>
      <w:bookmarkStart w:id="105" w:name="EBb8316000e262470794f9a65e400b5a39"/>
      <w:r>
        <w:rPr>
          <w:rFonts w:hint="eastAsia" w:ascii="宋体" w:hAnsi="宋体" w:cs="宋体"/>
          <w:kern w:val="0"/>
          <w:szCs w:val="21"/>
          <w:highlight w:val="none"/>
        </w:rPr>
        <w:t>/</w:t>
      </w:r>
      <w:bookmarkEnd w:id="105"/>
      <w:r>
        <w:rPr>
          <w:rFonts w:hint="eastAsia" w:ascii="宋体" w:hAnsi="宋体" w:cs="宋体"/>
          <w:kern w:val="0"/>
          <w:szCs w:val="21"/>
          <w:highlight w:val="none"/>
        </w:rPr>
        <w:t>。</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承包人是否应为其施工设备等办理财产保险：/。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18.7 通知义务</w:t>
      </w:r>
    </w:p>
    <w:p>
      <w:pPr>
        <w:spacing w:line="440" w:lineRule="exact"/>
        <w:ind w:firstLine="420" w:firstLineChars="200"/>
        <w:rPr>
          <w:rFonts w:ascii="宋体" w:hAnsi="宋体" w:cs="宋体"/>
          <w:szCs w:val="21"/>
          <w:highlight w:val="none"/>
          <w:u w:val="single"/>
        </w:rPr>
      </w:pPr>
      <w:r>
        <w:rPr>
          <w:rFonts w:hint="eastAsia" w:ascii="宋体" w:hAnsi="宋体" w:cs="宋体"/>
          <w:kern w:val="0"/>
          <w:szCs w:val="21"/>
          <w:highlight w:val="none"/>
        </w:rPr>
        <w:t>关于变更保险合同时的通知义务的约定：</w:t>
      </w:r>
      <w:r>
        <w:rPr>
          <w:rFonts w:hint="eastAsia" w:ascii="宋体" w:hAnsi="宋体" w:cs="宋体"/>
          <w:szCs w:val="21"/>
          <w:highlight w:val="none"/>
        </w:rPr>
        <w:t>/。</w:t>
      </w:r>
    </w:p>
    <w:p>
      <w:pPr>
        <w:spacing w:line="440" w:lineRule="exact"/>
        <w:ind w:firstLine="420" w:firstLineChars="200"/>
        <w:outlineLvl w:val="0"/>
        <w:rPr>
          <w:rFonts w:ascii="宋体" w:hAnsi="宋体" w:cs="宋体"/>
          <w:szCs w:val="21"/>
          <w:highlight w:val="none"/>
        </w:rPr>
      </w:pPr>
      <w:r>
        <w:rPr>
          <w:rFonts w:hint="eastAsia" w:ascii="宋体" w:hAnsi="宋体" w:cs="宋体"/>
          <w:szCs w:val="21"/>
          <w:highlight w:val="none"/>
        </w:rPr>
        <w:t>20. 争议解决</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20.3 争议评审</w:t>
      </w:r>
    </w:p>
    <w:p>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 xml:space="preserve">合同当事人是否同意将工程争议提交争议评审小组决定：/。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20.3.1 争议评审小组的确定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争议评审小组成员的确定：/。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选定争议评审员的期限：/。</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争议评审小组成员的报酬承担方式：/。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其他事项的约定：/。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20.3.2 争议评审小组的决定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合同当事人关于本项的约定：/。</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20.4仲裁或诉讼</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因合同及合同有关事项发生的争议，按下列第1种方式解决：</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（1）向常州仲裁委员会申请仲裁；</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（2）向发包人所在地人民法院起诉。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补充条款：</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21.1 适用于合同的其他规范性文件：招标文件、答疑纪要、工程量清单及编制说明、投标文件及双方其他书面约定作为本合同附件，等同合同的法律效力。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21.2 承包人应履行合同约定的其他义务以及下述义务：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(1)承包人在投标书中所列的项目经理、技术负责人、施工员、安全员、质量员等人员在合同履行期间必须常驻现场（即：项目经理每周驻现场时间不得少于 5 天、每天在现场时间不得少于 8 小时；其他人员每周驻现场时间不得少于 5 天、每天在现场时间不得少于 8 小时），如未做到，承包人承担 1000 元/人次的违约金，上述人员必须亲自参加每次现场工地例会、专题例会（确有情况无法参加时，应得到发包人代表的同意），如未做到，承包人承担 1000 元/人次的违约金。上述违约金从同期工程款中扣除。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(2)承包人在投标书中所列的项目部人员未经发包人同意不得擅自更换，若未经发包人同意擅自更换，承包人属于重大违约。发包人有权立即解除合同，并向承包人追究由此给发包人带来的一切损失。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(3)承包人在合同生效后 7 天向监理、项目管理、发包人提供施工组织和施工总进度计划，监理、项目管理、发包人在 3 天内予以回复。施工图设计和施工总进度计划经各方确认后，承包人应于 2 天内向各方提供正式的施工组织设计和施工总进度计划。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(4)需承包人办理的有关施工场地交通、环卫和施工噪音管理等手续：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噪音管理等：承包人自行办理夜间施工许可证，费用由承包人在投标报价中考虑，施工噪音引起的纠纷由承包人自行解决，产生的施工噪声超标排放费由承包人在投标报价中考虑；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垃圾管理：承包人自行办理垃圾弃置许可证，费用由承包人在投标报价中考虑；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(5)施工场地清洁卫生的要求：按照省、市文件规定的相关要求执行，要求安全文明施工且施工人员进场必须规范着装（包括安全设备、设施）、禁止在非规定地点吸烟、大小便、倒垃圾，违者按施工过程中的相关管理办法或制度承担违约金。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(6)施工工地围档：有条件进行封闭施工的, 须采用围挡封闭。相关费用已考虑在合同价中。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(7)承包人要加强工程施工车辆的管理，施工车辆不得无故影响道路交通。不得沿途抛洒弃土。保持路面清洁，车辆出入场内场外道路，均应设专人进行路面保洁;渣土车辆在出入市政道路前必须进行冲洗，避免带泥作业和沿路撒泼滴漏等。承包人负责与交警、城管、市政等有关部门联系。解决在交通线路、道板上布设限速、禁停等标志、标牌，并根据有关部门要求，安排人员在主要路口疏散汽车、行人交通，其相应手续及费用由承包人承担。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(8)承包人有责任做好施工现场周边地下管线和临近建筑物、构筑物及古树名木的保护工作，如因承包人原因造成损坏的，承包人必须负责修复，若造成恶劣影响的，发包人有权对其进行处罚。承包人应围绕各工期目标组织足够人员、机械设备，采取积极措施确保本工程最终目标的实现，施工中加强与周边相关施工项目的协调，应服从发包人、监理统一协调。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(9)承包人应与其他专业承包队伍的施工、发包人指定供应商的供货做好管理、协调、配合工作。承包人必须提供施工进度计划表，并明确各专业施工单位、发包人指定供应商在各区各层各部位的进场施工、供货时间，在经监理、发包人批准后，承包人应严格按照批准的施工进度安排各专业施工单位、发包人指定供应商进场施工、供货。由于承包人未能及时提供施工条件或配合各专业施工单位、发包人指定供应商进行施工、供货，而造成的工期延误和损失，由承包人承担全部责任。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(10)承包人应充分了解已存在、或潜在的对本项目已完工的隐蔽工程的破坏因素，承包人应采取切实可行的保护措施，防止本项目已完工程遭到破坏。同时，承包人应充分了解本项目工程施工对其他市政公用管线已存在的、或潜在的破坏因素，并且承包人及施工人员采取切实的保护措施，防止因本项目工程施工而破坏其他市政公用管线，否则应赔偿因此造成的一切损失。若因发包人未提供相关资料造成的损失承包人不承担责任。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(11)承包人应配合发包人做好规划放线、验线工作，并做好点位引测及保护工作。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(12)现场施工条件和情况由承包人自行勘察，机械设备布置和防护由承包人自行负责并承担费用；在施工过程中不得破坏施工场地周围的自然景观和环境，不得随意取土、弃土；承包人应配合其他专业承包人工作，并无条件服从发包人和监理的协调，为专业发包的工程提供总包管理及配合；如果在现场挖掘土方工作过程中，发现电线、水管管道，或者其他公共设施，承包人应立即停止挖掘工作，并及时报告发包人或专门机构，承包人应根据有关指示，负责修理那些破坏的公共设施，并恢复原状，费用由承包人承担；合同（包括会议纪要约定内容以及设计变更等）规定由承包人完成并给专业承包人提供配合的工作，如承包人拒绝完成或不能按合同要求完成，发包人即可安排第三方完成，按实际发生费用从承包人工程款中直接扣除，影响工期的责任由承包人负责；在施工过程中做到工完场清，工程竣工时清理现场，若因工程现场施工进度及要求需拆除现场临时设施，包括机械设备、材料等设施，费用由承包人承担，并满足发包人的现场管理要求和时间节点要求。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(13)在施工过程中承包人不得因发包人前期手续问题而索赔或消极施工，需积极服从，保证工程按计划进行，若未按发包人要求，违反上述约定，每次由承包人向发包人支付 1 万元违约金，从承包人工程款中直接扣除。</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(14)在工程施工过程中以及工程竣工后的保修期内，由于承包人责任出现质量问题、安全事故或者因其他原因受到报纸、电视等媒体的曝光或被政府有关主管部门的通报批评，给本工程的社会形象带来负面影响的，每次由承包人向发包人支付 1 万元违约金，从承包人工程款中直接扣除。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(15)已完工程成品保护的特殊要求及费用承担：采取有效措施，对已完工程进行保护，费用由承包人承担，保护期间发生的损坏，由承包人自费进行修缮。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（16）合同履行期间，安全文明施工以及治安事宜均由承包人负责。</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17）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（18）施工现场应严格控制堆放易导致扬尘的建筑材料，确需堆放的，应做好覆盖工作。</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（19）渣土挖运的承包管理。承包人必须将渣土挖运发包给具有相应资质，经城管部门核准取得建筑垃圾准运证的承包单位。</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(20)承包人应严格执行参建各方共同制定并确认的现场管理制度。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21.3 材料、设备的准备要求：承包人应在材料、设备进场前 7 天向监理人申报相关资料，监理人在收到申报资料后 3 天内完成审批。</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（1）承包人应按照本合同约定及设计和有关标准要求采购由承包人负责采购的材料，采购前应向监理工程师提供产品合格证明和样本，并在材料到货前 24 小时通知监理工程师初检。承包人对材料（设备）质量负责。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主要材料（设备）供应商由承包人自行选择，但须得到发包人、项目管理单位、监理人的认可。未经发包人、项目管理、监理人认可，承包人不得私自将材料（设备）运进现场，更不得将材料用于本工程。材料的供应以保障工程施工顺利进行为原则，由承包人自理。具体事宜由承包人与材料供应商在签订的供应合同中明确，供应合同中明确具体品种、数量、标准、规格、型号、尺寸、供应办法、供货地点、下力方式。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3）发包人、项目管理、监理人对材料供应商的决定或认可并不解除承包人应承担的质量、工期的责任，也不解除承包人对材料应承担的责任。承包人采购的材料与设计或规范要求不符时，承包人应按监理工程师要求的时间运出施工场地，重新采购符合要求的产品并承担因此发生的费用，由此延误的工期不予顺延。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4）承包人采购的材料在使用前，承包人应按监理工程师的要求进行检验或试验，如监理工程师对检验过材料（设备）表示怀疑时有权随机抽样检验。不合格的不得使用，检验或试验费用由承包人承担。不合格材料及与封样不符的材料由监理标识后，三天内运出场外。场内严禁堆放不合格材料和不符材料，过期不处理的不合格材料和不符材料，发包人有权自行处理。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（5）若发现承包人采购并使用不符合设计或标准要求的材料，致使工程不符合合同规定的质量要求，承包人应按监理工程师的要求进行修复、拆除或重新采购，并按 10000 元人民币/次标准向发包人支付违约金（在当期的工程款中扣除），并承担由此发生的一切费用，延误的工期不予顺延。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6）材料到达施工现场卸力指定位置后，由设计方、发包人、监理方及承包人共同参与验收通过后办理交接手续。承包人保证所供材料达到设计方、发包人的要求，不符合要求的材料，发包人立即退货并对退货部分不予支付任何款项。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7）承包人需要使用代用材料时，应向监理工程师提出使用代用材料对本工程质量、成本、进度等方面的影响报告，经监理工程师审核并报项目管理、发包人批准后才能使用，由此增减的合同价款双方以书面形式议定。发包人的批准并不能解除承包人对代用材料的质量和使用代用材料引起的不良结果的责任。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8）承包人应该对各种材料、器材、设备按规范进行检查，拒绝不符合要求的材料、器材、设备用于工程。承包人必须严格按照合同要求及招投标过程中确定的材料品种、品牌、规格、型号进行使用，严禁擅自更改，若发现有材料品种、品牌、规格、型号不符合上述要求，或采用假冒伪劣产品，每一项罚款 1 万元，并要求无条件更换，同时承担相关责任。无论何种原因，出现不合格材料、器材、设备用于工程的情况，相关责任均由承包人承担。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（9）工程量清单中的“材料、工程设备暂估价”（或“专业工程暂估价”）发包人保留甲供、甲定乙供（或另行专业分包）的权力。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（10）施工中如承包人遇材料因实际情况需要变更的，须经发包人、监理人、使用人同意，以不降低工程品质为前提，材料变更应在招标文件选定的品牌、规格范围内，价格不予调整。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21.4 合同价款及调整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(1)本合同采用固定价格合同，固定价格为固定综合单价，合同价款中包括的风险范围：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1）市场风险；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2）分部分项工程和措施项目中的单价项目的综合单价，不随工程量的增减而调整；以项为单位总额报价的综合单价在合同实施期间固定不变；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3)承包人的投标施工方案；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4)经踏勘后的现场条件；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5)所有按“项”为单位设置的分部分项清单和单价措施清单，承包人在签约合同价中已综合考虑，结算时该项价格不做任何调整。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6）材料价格波动及政策性调整。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7）网络租赁费用，按光纤租用数量按条计量，租赁费用包含5年通讯以及维保等所有费用。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8）本工程电子警察、违停抓拍、高空监控、通讯等设备质保期五年，质保期（5年）内免费提供维保服务，相关费用(含5年公安网平台接入网络通信租赁费用)已包含在签约合同价中，不另行计量。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9）本工程周边的人流量及车流量较大，承包人已充分考虑施工时可能会存在的各种行人、行车干扰，以及周边相关单位的干扰，相关费用已包含在合同价中，结算时不另计算也不作任何调整。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10)其余详见本工程工程量清单（含清单编制说明）的要求。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(2)风险费用的计算方法：综合考虑在投标综合单价内，在合同约定风险范围内不作调整。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（3）风险范围以外合同价款调整方法：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1)本工程工程量按实结算。工程量须以经发包人确认的承包人完成的合格工程应予计量的工程量为准。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2)分部分项工程费和措施项目中的单价措施项目费应根据承、发包双方确认的工程量、承包人的投标综合单价计算。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3）合同工期6个月之内（含6个月）的，人工、材料价格按投标报价不予调整；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4)措施项目中的总价措施项目费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竣工结算时，安全文明施工措施费、扬尘污染防治增加费按常建[2019]1号文件规定执行。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其他总价措施费项目，以费率报价的按投标所报费率计算，以费用报价的，按投标时口径折算成费率调整（按报价中费率最低执行）。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6）其它项目费用应按下列规定计算：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①计日工应按发包人实际签证确认的事项计算；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②暂估价中的材料单价应按承发包双方最终确认价在综合单价中调整；暂估价中的项目暂估价按承发包双方最终确认价调整；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③索赔费用应依据承发包双方确认的索赔事项和金额计算；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④现场签证费用应依据承发包双方签证资料确认的金额计算。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7）规费和税金应按国家或省级、行业建设主管部门的规定计算。</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8）工程量清单中漏项、新增或变更项目（含材料）引起的分部分项工程综合单价结算原则为：投标报价中有适用的综合单价的，按投标综合单价结算。投标报价中只有类似于变更工程的价格，可参照原投标书中类似项目价格组成同口径进行结算。投标报价中无适用或类似综合单价的，结算原则为：依据《建设工程工程量清单计价规范》GB50500-2013、现行计价定额、2014《江苏省建设工程费用定额》等计价规范及文件规定编制综合单价，其中材料价格按施工当期除税指导价（信息价中没有的材料，价格的确定按照暂定价材料价格的确定方式确定）；根据上述要求编制综合单价并按投标报价（扣除暂列金额及相应的规费税金）/对应招标控制价（扣除暂列金额及相应的规费税金）同比例优惠让利后，经监理、跟踪审计以及发包人审定后作为结算依据。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9）因工程变更造成施工方案变更，引起措施项目发生变化时，单价措施项目变更原则同分部分项工程；总价措施项目中以费率报价的，费率不变；原措施费中没有的措施项目，由承包人提出适当的措施费变更要求，经监理、跟踪审计以及发包人签证后进行结算。安全文明施工费按本合同规定及相关文件规定执行。结算时，除工程变更引起施工方案改变外，或发包人提出增加外，承包人不得以已标价措施项目清单缺项为由要求新增措施项目。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10）所有涉及工程结算的签证单上必须有承包人（项目组）、监理工程师、跟踪审计、发包人四方的签字和盖章，方可作为竣工结算的依据，签证单上必须明确签证的原因、位置、尺寸、数量、材料、人工、机械台班、价格和签证时间，严禁事后补办。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11）施工中承包人不得擅自对原工程设计进行变更，必须经发包人同意并办理了相关的签字、盖章手续后方可生效。因承包人擅自变更设计发生的费用和由此导致发包人的损失，由承包人承担，延误的工期不予顺延。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12）由于政策性的国家大气污染管控造成停工工期，不计算在工期内，相应产生的费用有政策调整的，按文件执行，无相应文件规定的，发包人不予认可，结算时不作调整。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13）施工范围内如需采用招标文件中规定的施工围护形式全封闭施工(包括拆迁等文明施工需要配合的围挡),费用已包含在措施项目费用中。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21.5 其他约定: </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（1）关于农民工工资的约定：</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①承包人承诺：在工程款按合同约定支付到位的情况下，承包人应确保农民工工资、材料供应款的支付到位，承担因农民工工资、材料供应款不到位而引发的一切责任。</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②承包人须严格执行根国务院令第 724 号《保障农民工工资支付条例》、常住建规【2020】3号《常州市建筑工人实名制管理和工资支付保障实施办法（试行）》常住建【2021】50号《关于进一步明确常州市市政基础设施工程建筑工人实名制管理和工资支付保障相关要求的通知》、（关于印发《常州市工程建设领域农民工工资保证金管理细则》的通知）[常人社发（2022）53 号]文件要求。在施工合同备案前按规定设立农民工工资专户，农民工工资实行银行代发。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发包人按合同约定足额支付合同价款后，本项目下的农民工滋事、聚众等给承包人经营造成影响的，承包人应当及时规劝消除影响，保证承包人正常经营，否则承包人视情况应当承担10-30万违约金。</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 xml:space="preserve">（2）承包人在施工过程中不得以签证（包括但不限于计量、价格签证）有异议作借口暂停施工或拖延工期，如发生此类情况，按 50000 元/次进行罚款，且按擅自停工处理， 并承担由此造成的一切后果。 </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3）在整个施工过程中，所产生的争议按合同约定的争议解决原则在项目竣工验收后解决，承包人不得以中途变更、签证、索赔等未达成一致意见为由来停止施工或拖延工期，如发生此类情况，按擅自停工处理，并承担由此造成的一切后果，发包人将按 1 万元人民币/天对承包人进行索赔。承包人不得拒绝发包人提出的关于工程设计变更及其他零星工作施工的要求，否则发包人将按 1 万元人民币/次对承包人提出索赔。</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 xml:space="preserve">（4）由于承包人原因，导致材料检测等相关检测未通过，材料及复验费由承包人承担。 </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5）本工程竣工验收合格后30天内，承包人须将详细的工程竣工结算申请单和完整的结算资料（纸质资料及电子光盘均需要）呈交给发包人，双方按照本合同约定进行工程竣工结算。发包人如对竣工结算申请单有异议，或承包人逾期未能提交完整的结算资料，或提交的结算资料不属实或不符合发包人要求的，发包人有权要求承包人在10天内进行修正和提供补充资料，如承包人无故拒绝修正或补充资料的，则视为承包人自愿放弃向发包人主张该部分资料所对应的费用。结算资料逾期提交的，发包人有权对承包人进行相应处罚。</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在结算审核过程中一律不得补办签证、设计变更等；承包人编制的工程结算应实事求是，不得故意多估冒算，如工程结算经监理、审计单位审定后，审计核减5%以内（含5%）的审计费由发包人承担；审计核减超过 5%，其超过部分的审计费由承包人承担，同时对于核减额超15%，承包人应按照核减额超15%为基数的5%作为罚款。核增部分的审计费均由承包人承担。上述由承包人承担的审计费均由承包人直接支付给审计单位，同时审计单位出具的发票复印件加盖审计单位公章报发包人备案，超额审计罚款由发包人在工程款支付时直接扣减。</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6）承包人须做好文明施工、安全生产，承包人有义务主动、及时协调解决各种地方及周边矛盾,协调处理好与各专业管线的交叉施工，相关费用由承包人承担；根据国家及地方有关规定，由承包人办理有关交通、环卫、环保手续，并承担相关费用；与本项目周边单位做好配合工作，负责协调和处理因施工引起的周边地段民事纠纷，并承担由此发生的费用，包括因承包人责任造成的违约责任和赔偿。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7）根据政府相关部门颁发的竣工验收相关规定及技术档案管理条例编制整理的竣工资料和竣工图，在竣工质量验收（俗称竣前验收）之前经监理及发包人认可后移交给发包人，若承包人未能及时移交，竣工质量验收延后，直至承包人完整移交竣工图及竣工资料为止，由此造成的工期延误或其他一切损失由承包人承担。</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 xml:space="preserve">（8）承包人项目竣工须按城建档案馆的要求提供完整的声像电子档案 2 套(一套归档城建档案馆、一套归档发包人)、完整的书面及电子的竣工档案资料 2 套(一套归档城建档案馆、一套归档发包人)，该费用已包含在签约合同价中，结算不另计费。 </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 xml:space="preserve">（9）承包人须充分考虑施工范围内可能涉及的其他项目（如其他市政项目施工、其他专业管线的施工等等）的交叉施工影响，如因其他施工方对本工程范围内已完成部分造成损坏，由承包人自行恢复及向相关责任人进行索赔；如本承包人对其他承包方已完成的部分工程造成损坏，必须原样恢复或向相关承包方承担相应的恢复费用。承包人已将相应费用包含在投标报价中，结算时不另计算也不作任何调整。 </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10）扬尘污染防治增加费，按常建[2019]1号文计算。施工过程中必须加强建筑施工扬尘防治工作，承包人须根据本工程设计图纸、工地现场情况、扬尘控制的相关要求，制定扬尘防治的实施方案，如裸土覆盖、道路硬化、车辆冲洗平台、喷淋降尘系统、雾炮车、临时绿化等措施,并在施工过程中严格执行扬尘染污、扬尘控制的相关规定，相关费用已在安全文明施工费（含扬尘污染防治增加费）中计列，结算时不另行计算。</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11）承包人承诺确保公安信息网络的安全保密，坚决杜绝失、泄密和网络安全隐患、不泄露公安网络工作信息及施工中接触的公安数据、帐号、密码、及网络接口信息。若有违背，产生严重后果的，发包人及公安部门将依法追究承包人的责任。</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（12）本工程为交通设施、电子警察工程，但不排除在保修期内[标志贴膜（反光膜）为 7 年，7年内保证贴膜无严重褪色，无脱落；交通标志杆位 10 年，红绿灯杆均经热镀防腐处理,也为10年；热熔交通标线保质期为 1 年。如交通标志杆件、红绿灯杆等发生断裂，属承包人因质量原因造成的，发包人将拒绝该单位在发包人单位 3 年的投标资格。</w:t>
      </w:r>
    </w:p>
    <w:p>
      <w:pPr>
        <w:spacing w:line="440" w:lineRule="exact"/>
        <w:ind w:firstLine="420" w:firstLineChars="200"/>
        <w:rPr>
          <w:rFonts w:ascii="宋体" w:hAnsi="宋体" w:cs="宋体"/>
          <w:color w:val="0000FF"/>
          <w:szCs w:val="21"/>
          <w:highlight w:val="none"/>
        </w:rPr>
      </w:pPr>
      <w:r>
        <w:rPr>
          <w:rFonts w:hint="eastAsia" w:ascii="宋体" w:hAnsi="宋体" w:cs="宋体"/>
          <w:color w:val="0000FF"/>
          <w:szCs w:val="21"/>
          <w:highlight w:val="none"/>
        </w:rPr>
        <w:t>（13）本次工程的材料运输、材料存储应利用好有限的平面、道路和场地和运输工具，在规定的时间及范围内解决好材料的进场、堆放、交叉使用、垃圾的清运和现场卫生等项工作，利用现场有利条件调整好专业队伍人员、物品的安排，消除不利因素，保证正常施工并创建出环境良好，清洁卫生、布置有序的文明工地。</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21.6 承包人必须按发包人要求，充分配合所涉及到的其他标段的施工，如因本标段责任（如未能按发包人要求的时间进度提供其他标段施工所需要的作业面、因本标段施工导致其他标段无法按发包人要求的工期和质量如期完工等）对其他标段施工造成不良影响，所生产的一切不利后果和责任，均由承包人自行承担。本工程现场情况复杂，发包人可能会根据实际情况作出工程量等工作内容的调整，承包方必须配合。</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21.7 本工程不得违法转包、分包，如承包人违法转包、分包，一经发现，发包人有权解除合同，并追究其由此造成的一切后果。</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21.8 由于模板限制，若合同条款与补充条款不一致，以补充条款为准。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21.9 本工程合同条款一律以打印为准，手写或涂改无效。</w:t>
      </w: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注：上述格式及内容仅供参考，具体以发包人签订合同时内容为准。</w:t>
      </w:r>
    </w:p>
    <w:p>
      <w:pPr>
        <w:spacing w:line="360" w:lineRule="auto"/>
        <w:jc w:val="center"/>
        <w:rPr>
          <w:rFonts w:ascii="宋体" w:hAnsi="宋体" w:cs="宋体"/>
          <w:b/>
          <w:spacing w:val="100"/>
          <w:sz w:val="28"/>
          <w:szCs w:val="28"/>
          <w:highlight w:val="none"/>
        </w:rPr>
        <w:sectPr>
          <w:pgSz w:w="11907" w:h="16840"/>
          <w:pgMar w:top="1440" w:right="1559" w:bottom="1440" w:left="1560" w:header="851" w:footer="851" w:gutter="0"/>
          <w:cols w:space="720" w:num="1"/>
          <w:docGrid w:linePitch="312" w:charSpace="0"/>
        </w:sectPr>
      </w:pPr>
      <w:bookmarkStart w:id="106" w:name="_Toc10039"/>
    </w:p>
    <w:p>
      <w:pPr>
        <w:spacing w:line="360" w:lineRule="auto"/>
        <w:jc w:val="center"/>
        <w:rPr>
          <w:rFonts w:ascii="宋体" w:hAnsi="宋体" w:cs="宋体"/>
          <w:b/>
          <w:spacing w:val="100"/>
          <w:sz w:val="28"/>
          <w:szCs w:val="28"/>
          <w:highlight w:val="none"/>
        </w:rPr>
      </w:pPr>
      <w:r>
        <w:rPr>
          <w:rFonts w:hint="eastAsia" w:ascii="宋体" w:hAnsi="宋体" w:cs="宋体"/>
          <w:b/>
          <w:spacing w:val="100"/>
          <w:sz w:val="28"/>
          <w:szCs w:val="28"/>
          <w:highlight w:val="none"/>
        </w:rPr>
        <w:t>廉政合约</w:t>
      </w:r>
    </w:p>
    <w:p>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为进一步加强零星工程的廉政建设，特订立如下协议。</w:t>
      </w:r>
    </w:p>
    <w:p>
      <w:pPr>
        <w:widowControl/>
        <w:spacing w:line="440" w:lineRule="exact"/>
        <w:jc w:val="left"/>
        <w:rPr>
          <w:rFonts w:ascii="宋体" w:hAnsi="宋体" w:cs="宋体"/>
          <w:b/>
          <w:bCs/>
          <w:kern w:val="0"/>
          <w:szCs w:val="21"/>
          <w:highlight w:val="none"/>
          <w:u w:val="single"/>
        </w:rPr>
      </w:pPr>
      <w:r>
        <w:rPr>
          <w:rFonts w:hint="eastAsia" w:ascii="宋体" w:hAnsi="宋体" w:cs="宋体"/>
          <w:kern w:val="0"/>
          <w:szCs w:val="21"/>
          <w:highlight w:val="none"/>
        </w:rPr>
        <w:t>零星工程项目名称：</w:t>
      </w:r>
      <w:r>
        <w:rPr>
          <w:rFonts w:hint="eastAsia" w:ascii="宋体" w:hAnsi="宋体" w:cs="宋体"/>
          <w:szCs w:val="21"/>
          <w:highlight w:val="none"/>
          <w:u w:val="single"/>
        </w:rPr>
        <w:t xml:space="preserve">          </w:t>
      </w:r>
    </w:p>
    <w:p>
      <w:pPr>
        <w:widowControl/>
        <w:spacing w:line="440" w:lineRule="exact"/>
        <w:jc w:val="left"/>
        <w:rPr>
          <w:rFonts w:ascii="宋体" w:hAnsi="宋体" w:cs="宋体"/>
          <w:b/>
          <w:kern w:val="0"/>
          <w:szCs w:val="21"/>
          <w:highlight w:val="none"/>
        </w:rPr>
      </w:pPr>
      <w:r>
        <w:rPr>
          <w:rFonts w:hint="eastAsia" w:ascii="宋体" w:hAnsi="宋体" w:cs="宋体"/>
          <w:b/>
          <w:kern w:val="0"/>
          <w:szCs w:val="21"/>
          <w:highlight w:val="none"/>
        </w:rPr>
        <w:t>一、甲、乙双方的权利和义务</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1、甲乙双方应严格遵守党的政策规定和国家有关法律法规。</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2、甲乙双方应严格执行项目的合同文件，自觉按合同办事。</w:t>
      </w:r>
    </w:p>
    <w:p>
      <w:pPr>
        <w:widowControl/>
        <w:spacing w:line="440" w:lineRule="exact"/>
        <w:ind w:firstLine="404" w:firstLineChars="200"/>
        <w:jc w:val="left"/>
        <w:rPr>
          <w:rFonts w:ascii="宋体" w:hAnsi="宋体" w:cs="宋体"/>
          <w:kern w:val="0"/>
          <w:szCs w:val="21"/>
          <w:highlight w:val="none"/>
        </w:rPr>
      </w:pPr>
      <w:r>
        <w:rPr>
          <w:rFonts w:hint="eastAsia" w:ascii="宋体" w:hAnsi="宋体" w:cs="宋体"/>
          <w:spacing w:val="-4"/>
          <w:kern w:val="0"/>
          <w:szCs w:val="21"/>
          <w:highlight w:val="none"/>
        </w:rPr>
        <w:t>3、甲乙双方的业务活动应坚持公开、公平、公正、诚信、透明的原则</w:t>
      </w:r>
      <w:r>
        <w:rPr>
          <w:rFonts w:hint="eastAsia" w:ascii="宋体" w:hAnsi="宋体" w:cs="宋体"/>
          <w:kern w:val="0"/>
          <w:szCs w:val="21"/>
          <w:highlight w:val="none"/>
        </w:rPr>
        <w:t>。</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4、甲乙双方不得以任何理由向对方工作人员行贿或馈赠礼金、有价证券、贵重礼品。不得在对方报销任何应由个人支付的费用。</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5、甲乙双方不得以任何理由违反廉洁自律的有关规定。</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6、甲乙双方发现对方严重违反本协议条款的行为，有及时提醒对方、向其上级有关部门举报、建议给予处理并要求告知处理结果的权利。</w:t>
      </w:r>
    </w:p>
    <w:p>
      <w:pPr>
        <w:widowControl/>
        <w:spacing w:line="440" w:lineRule="exact"/>
        <w:jc w:val="left"/>
        <w:rPr>
          <w:rFonts w:ascii="宋体" w:hAnsi="宋体" w:cs="宋体"/>
          <w:b/>
          <w:kern w:val="0"/>
          <w:szCs w:val="21"/>
          <w:highlight w:val="none"/>
        </w:rPr>
      </w:pPr>
      <w:r>
        <w:rPr>
          <w:rFonts w:hint="eastAsia" w:ascii="宋体" w:hAnsi="宋体" w:cs="宋体"/>
          <w:b/>
          <w:kern w:val="0"/>
          <w:szCs w:val="21"/>
          <w:highlight w:val="none"/>
        </w:rPr>
        <w:t>二、违约责任</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1、甲、乙双方及其工作人员违反本协议有关规定的，按管理权限，依据有关规定给予经济处罚或追究党纪政纪责任；涉嫌犯罪的，移交司法机关追究刑事责任；给双方单位造成经济损失的，应予以赔偿。</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2、本协议一式叁份，由甲方执壹份、乙方执壹份，送交甲方的监督单位壹份。</w:t>
      </w:r>
    </w:p>
    <w:p>
      <w:pPr>
        <w:widowControl/>
        <w:spacing w:line="440" w:lineRule="exact"/>
        <w:jc w:val="left"/>
        <w:rPr>
          <w:rFonts w:ascii="宋体" w:hAnsi="宋体" w:cs="宋体"/>
          <w:kern w:val="0"/>
          <w:szCs w:val="21"/>
          <w:highlight w:val="none"/>
        </w:rPr>
      </w:pP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甲方单位（盖章）：                 乙方单位（盖章）：</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                       法定代表人：</w:t>
      </w:r>
    </w:p>
    <w:p>
      <w:pPr>
        <w:widowControl/>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日期：     年    月   日           日期：     年    月   日</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注：上述格式及内容仅供参考，具体以甲方签订合同时内容为准。</w:t>
      </w:r>
    </w:p>
    <w:bookmarkEnd w:id="106"/>
    <w:p>
      <w:pPr>
        <w:spacing w:line="360" w:lineRule="auto"/>
        <w:jc w:val="left"/>
        <w:rPr>
          <w:rFonts w:ascii="宋体" w:hAnsi="宋体" w:cs="宋体"/>
          <w:color w:val="000000"/>
          <w:szCs w:val="21"/>
          <w:highlight w:val="none"/>
        </w:rPr>
        <w:sectPr>
          <w:pgSz w:w="11907" w:h="16840"/>
          <w:pgMar w:top="1440" w:right="1559" w:bottom="1440" w:left="1560" w:header="851" w:footer="851" w:gutter="0"/>
          <w:cols w:space="720" w:num="1"/>
          <w:docGrid w:linePitch="312" w:charSpace="0"/>
        </w:sectPr>
      </w:pPr>
      <w:bookmarkStart w:id="107" w:name="_Hlk35852248"/>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协议书附件：</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附件1：承包人承揽工程项目一览表</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专用合同条款附件：</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附件2：发包人供应材料设备一览表</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附件3：工程质量保修书</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附件4：主要建设工程文件目录</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附件5：承包人用于本工程施工的机械设备表</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附件6：承包人主要施工管理人员表</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附件7：分包人主要施工管理人员表</w:t>
      </w:r>
    </w:p>
    <w:p>
      <w:pPr>
        <w:spacing w:line="360" w:lineRule="auto"/>
        <w:jc w:val="left"/>
        <w:rPr>
          <w:rFonts w:ascii="宋体" w:hAnsi="宋体" w:cs="宋体"/>
          <w:color w:val="000000"/>
          <w:sz w:val="28"/>
          <w:szCs w:val="28"/>
          <w:highlight w:val="none"/>
        </w:rPr>
      </w:pPr>
      <w:r>
        <w:rPr>
          <w:rFonts w:hint="eastAsia" w:ascii="宋体" w:hAnsi="宋体" w:cs="宋体"/>
          <w:color w:val="000000"/>
          <w:sz w:val="28"/>
          <w:szCs w:val="28"/>
          <w:highlight w:val="none"/>
        </w:rPr>
        <w:t>附件8：暂估价一览表</w:t>
      </w:r>
    </w:p>
    <w:p>
      <w:pPr>
        <w:spacing w:before="120" w:beforeLines="50" w:after="120" w:afterLines="50" w:line="440" w:lineRule="exact"/>
        <w:jc w:val="left"/>
        <w:rPr>
          <w:rFonts w:ascii="宋体" w:hAnsi="宋体" w:cs="宋体"/>
          <w:color w:val="000000"/>
          <w:sz w:val="30"/>
          <w:szCs w:val="30"/>
          <w:highlight w:val="none"/>
        </w:rPr>
        <w:sectPr>
          <w:pgSz w:w="11907" w:h="16840"/>
          <w:pgMar w:top="1440" w:right="1559" w:bottom="1440" w:left="1560" w:header="851" w:footer="851" w:gutter="0"/>
          <w:cols w:space="720" w:num="1"/>
          <w:docGrid w:linePitch="312" w:charSpace="0"/>
        </w:sectPr>
      </w:pPr>
    </w:p>
    <w:p>
      <w:pPr>
        <w:spacing w:before="120" w:beforeLines="50" w:after="120" w:afterLines="50" w:line="440" w:lineRule="exact"/>
        <w:jc w:val="left"/>
        <w:rPr>
          <w:rFonts w:ascii="宋体" w:hAnsi="宋体" w:cs="宋体"/>
          <w:color w:val="000000"/>
          <w:sz w:val="28"/>
          <w:szCs w:val="28"/>
          <w:highlight w:val="none"/>
        </w:rPr>
      </w:pPr>
      <w:r>
        <w:rPr>
          <w:rFonts w:hint="eastAsia" w:ascii="宋体" w:hAnsi="宋体" w:cs="宋体"/>
          <w:color w:val="000000"/>
          <w:sz w:val="28"/>
          <w:szCs w:val="28"/>
          <w:highlight w:val="none"/>
        </w:rPr>
        <w:t>附件1：</w:t>
      </w:r>
    </w:p>
    <w:p>
      <w:pPr>
        <w:spacing w:before="120" w:beforeLines="50" w:after="120"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承包人承揽工程项目一览表</w:t>
      </w:r>
    </w:p>
    <w:tbl>
      <w:tblPr>
        <w:tblStyle w:val="2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单位工程名称</w:t>
            </w:r>
          </w:p>
        </w:tc>
        <w:tc>
          <w:tcPr>
            <w:tcW w:w="1843"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建设规模</w:t>
            </w:r>
          </w:p>
        </w:tc>
        <w:tc>
          <w:tcPr>
            <w:tcW w:w="1417"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建筑面积(平方米)</w:t>
            </w:r>
          </w:p>
        </w:tc>
        <w:tc>
          <w:tcPr>
            <w:tcW w:w="241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结构形式</w:t>
            </w:r>
          </w:p>
        </w:tc>
        <w:tc>
          <w:tcPr>
            <w:tcW w:w="85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层数</w:t>
            </w:r>
          </w:p>
        </w:tc>
        <w:tc>
          <w:tcPr>
            <w:tcW w:w="156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生产能力</w:t>
            </w:r>
          </w:p>
        </w:tc>
        <w:tc>
          <w:tcPr>
            <w:tcW w:w="2126"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设备安装内容</w:t>
            </w:r>
          </w:p>
        </w:tc>
        <w:tc>
          <w:tcPr>
            <w:tcW w:w="1417"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合同价格（元）</w:t>
            </w:r>
          </w:p>
        </w:tc>
        <w:tc>
          <w:tcPr>
            <w:tcW w:w="85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开工日期</w:t>
            </w:r>
          </w:p>
        </w:tc>
        <w:tc>
          <w:tcPr>
            <w:tcW w:w="85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8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41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56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212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bl>
    <w:p>
      <w:pPr>
        <w:spacing w:line="440" w:lineRule="exact"/>
        <w:rPr>
          <w:rFonts w:ascii="宋体" w:hAnsi="宋体" w:cs="宋体"/>
          <w:color w:val="000000"/>
          <w:sz w:val="30"/>
          <w:szCs w:val="30"/>
          <w:highlight w:val="none"/>
        </w:rPr>
        <w:sectPr>
          <w:pgSz w:w="16840" w:h="11907" w:orient="landscape"/>
          <w:pgMar w:top="1560" w:right="1440" w:bottom="1559" w:left="1440" w:header="851" w:footer="851" w:gutter="0"/>
          <w:cols w:space="720" w:num="1"/>
          <w:docGrid w:linePitch="312" w:charSpace="0"/>
        </w:sectPr>
      </w:pPr>
    </w:p>
    <w:p>
      <w:pPr>
        <w:spacing w:line="440" w:lineRule="exact"/>
        <w:rPr>
          <w:rFonts w:ascii="宋体" w:hAnsi="宋体" w:cs="宋体"/>
          <w:color w:val="000000"/>
          <w:sz w:val="28"/>
          <w:szCs w:val="28"/>
          <w:highlight w:val="none"/>
        </w:rPr>
      </w:pPr>
      <w:r>
        <w:rPr>
          <w:rFonts w:hint="eastAsia" w:ascii="宋体" w:hAnsi="宋体" w:cs="宋体"/>
          <w:color w:val="000000"/>
          <w:sz w:val="28"/>
          <w:szCs w:val="28"/>
          <w:highlight w:val="none"/>
        </w:rPr>
        <w:t>附</w:t>
      </w:r>
      <w:bookmarkStart w:id="108" w:name="_Toc296944564"/>
      <w:bookmarkStart w:id="109" w:name="_Toc296891265"/>
      <w:bookmarkStart w:id="110" w:name="_Toc267261692"/>
      <w:bookmarkStart w:id="111" w:name="_Toc296347224"/>
      <w:bookmarkStart w:id="112" w:name="_Toc296346726"/>
      <w:bookmarkStart w:id="113" w:name="_Toc296503225"/>
      <w:bookmarkStart w:id="114" w:name="_Toc296891053"/>
      <w:r>
        <w:rPr>
          <w:rFonts w:hint="eastAsia" w:ascii="宋体" w:hAnsi="宋体" w:cs="宋体"/>
          <w:color w:val="000000"/>
          <w:sz w:val="28"/>
          <w:szCs w:val="28"/>
          <w:highlight w:val="none"/>
        </w:rPr>
        <w:t>件2：</w:t>
      </w:r>
    </w:p>
    <w:bookmarkEnd w:id="108"/>
    <w:bookmarkEnd w:id="109"/>
    <w:bookmarkEnd w:id="110"/>
    <w:bookmarkEnd w:id="111"/>
    <w:bookmarkEnd w:id="112"/>
    <w:bookmarkEnd w:id="113"/>
    <w:bookmarkEnd w:id="114"/>
    <w:p>
      <w:pPr>
        <w:spacing w:before="120" w:beforeLines="50" w:after="120"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发包人供应材料设备一览表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序号</w:t>
            </w:r>
          </w:p>
        </w:tc>
        <w:tc>
          <w:tcPr>
            <w:tcW w:w="1276"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材料、</w:t>
            </w:r>
          </w:p>
          <w:p>
            <w:pPr>
              <w:keepNext/>
              <w:adjustRightInd w:val="0"/>
              <w:spacing w:line="440" w:lineRule="exact"/>
              <w:ind w:right="63" w:rightChars="30"/>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设备品种</w:t>
            </w:r>
          </w:p>
        </w:tc>
        <w:tc>
          <w:tcPr>
            <w:tcW w:w="1418"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规格型号</w:t>
            </w:r>
          </w:p>
        </w:tc>
        <w:tc>
          <w:tcPr>
            <w:tcW w:w="94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单位</w:t>
            </w:r>
          </w:p>
        </w:tc>
        <w:tc>
          <w:tcPr>
            <w:tcW w:w="85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数量</w:t>
            </w:r>
          </w:p>
        </w:tc>
        <w:tc>
          <w:tcPr>
            <w:tcW w:w="1044"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单价（元）</w:t>
            </w:r>
          </w:p>
        </w:tc>
        <w:tc>
          <w:tcPr>
            <w:tcW w:w="992"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质量等级</w:t>
            </w:r>
          </w:p>
        </w:tc>
        <w:tc>
          <w:tcPr>
            <w:tcW w:w="85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供应时间</w:t>
            </w:r>
          </w:p>
        </w:tc>
        <w:tc>
          <w:tcPr>
            <w:tcW w:w="1487"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送达地点</w:t>
            </w:r>
          </w:p>
        </w:tc>
        <w:tc>
          <w:tcPr>
            <w:tcW w:w="992"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4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4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9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000000"/>
                <w:sz w:val="30"/>
                <w:szCs w:val="30"/>
                <w:highlight w:val="none"/>
              </w:rPr>
            </w:pPr>
          </w:p>
        </w:tc>
        <w:tc>
          <w:tcPr>
            <w:tcW w:w="1276" w:type="dxa"/>
            <w:vAlign w:val="center"/>
          </w:tcPr>
          <w:p>
            <w:pPr>
              <w:jc w:val="center"/>
              <w:rPr>
                <w:rFonts w:ascii="宋体" w:hAnsi="宋体" w:cs="宋体"/>
                <w:color w:val="000000"/>
                <w:sz w:val="30"/>
                <w:szCs w:val="30"/>
                <w:highlight w:val="none"/>
              </w:rPr>
            </w:pPr>
          </w:p>
        </w:tc>
        <w:tc>
          <w:tcPr>
            <w:tcW w:w="1418" w:type="dxa"/>
            <w:vAlign w:val="center"/>
          </w:tcPr>
          <w:p>
            <w:pPr>
              <w:jc w:val="center"/>
              <w:rPr>
                <w:rFonts w:ascii="宋体" w:hAnsi="宋体" w:cs="宋体"/>
                <w:color w:val="000000"/>
                <w:sz w:val="30"/>
                <w:szCs w:val="30"/>
                <w:highlight w:val="none"/>
              </w:rPr>
            </w:pPr>
          </w:p>
        </w:tc>
        <w:tc>
          <w:tcPr>
            <w:tcW w:w="940"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044"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c>
          <w:tcPr>
            <w:tcW w:w="851" w:type="dxa"/>
            <w:vAlign w:val="center"/>
          </w:tcPr>
          <w:p>
            <w:pPr>
              <w:jc w:val="center"/>
              <w:rPr>
                <w:rFonts w:ascii="宋体" w:hAnsi="宋体" w:cs="宋体"/>
                <w:color w:val="000000"/>
                <w:sz w:val="30"/>
                <w:szCs w:val="30"/>
                <w:highlight w:val="none"/>
              </w:rPr>
            </w:pPr>
          </w:p>
        </w:tc>
        <w:tc>
          <w:tcPr>
            <w:tcW w:w="1487" w:type="dxa"/>
            <w:vAlign w:val="center"/>
          </w:tcPr>
          <w:p>
            <w:pPr>
              <w:jc w:val="center"/>
              <w:rPr>
                <w:rFonts w:ascii="宋体" w:hAnsi="宋体" w:cs="宋体"/>
                <w:color w:val="000000"/>
                <w:sz w:val="30"/>
                <w:szCs w:val="30"/>
                <w:highlight w:val="none"/>
              </w:rPr>
            </w:pPr>
          </w:p>
        </w:tc>
        <w:tc>
          <w:tcPr>
            <w:tcW w:w="992" w:type="dxa"/>
            <w:vAlign w:val="center"/>
          </w:tcPr>
          <w:p>
            <w:pPr>
              <w:jc w:val="center"/>
              <w:rPr>
                <w:rFonts w:ascii="宋体" w:hAnsi="宋体" w:cs="宋体"/>
                <w:color w:val="000000"/>
                <w:sz w:val="30"/>
                <w:szCs w:val="30"/>
                <w:highlight w:val="none"/>
              </w:rPr>
            </w:pPr>
          </w:p>
        </w:tc>
      </w:tr>
    </w:tbl>
    <w:p>
      <w:pPr>
        <w:spacing w:line="440" w:lineRule="exact"/>
        <w:rPr>
          <w:rFonts w:ascii="宋体" w:hAnsi="宋体" w:cs="宋体"/>
          <w:color w:val="000000"/>
          <w:sz w:val="30"/>
          <w:szCs w:val="30"/>
          <w:highlight w:val="none"/>
        </w:rPr>
      </w:pPr>
    </w:p>
    <w:p>
      <w:pPr>
        <w:spacing w:line="440" w:lineRule="exact"/>
        <w:rPr>
          <w:rFonts w:ascii="宋体" w:hAnsi="宋体" w:cs="宋体"/>
          <w:color w:val="000000"/>
          <w:sz w:val="30"/>
          <w:szCs w:val="30"/>
          <w:highlight w:val="none"/>
        </w:rPr>
      </w:pPr>
    </w:p>
    <w:p>
      <w:pPr>
        <w:spacing w:line="440" w:lineRule="exact"/>
        <w:rPr>
          <w:rFonts w:ascii="宋体" w:hAnsi="宋体" w:cs="宋体"/>
          <w:color w:val="000000"/>
          <w:sz w:val="30"/>
          <w:szCs w:val="30"/>
          <w:highlight w:val="none"/>
        </w:rPr>
      </w:pPr>
    </w:p>
    <w:p>
      <w:pPr>
        <w:spacing w:line="440" w:lineRule="exact"/>
        <w:rPr>
          <w:rFonts w:ascii="宋体" w:hAnsi="宋体" w:cs="宋体"/>
          <w:color w:val="000000"/>
          <w:sz w:val="28"/>
          <w:szCs w:val="28"/>
          <w:highlight w:val="none"/>
        </w:rPr>
      </w:pPr>
      <w:r>
        <w:rPr>
          <w:rFonts w:hint="eastAsia" w:ascii="宋体" w:hAnsi="宋体" w:cs="宋体"/>
          <w:color w:val="000000"/>
          <w:sz w:val="28"/>
          <w:szCs w:val="28"/>
          <w:highlight w:val="none"/>
        </w:rPr>
        <w:t>附</w:t>
      </w:r>
      <w:bookmarkStart w:id="115" w:name="_Toc296346727"/>
      <w:bookmarkStart w:id="116" w:name="_Toc296503226"/>
      <w:bookmarkStart w:id="117" w:name="_Toc267261693"/>
      <w:bookmarkStart w:id="118" w:name="_Toc296891054"/>
      <w:bookmarkStart w:id="119" w:name="_Toc296347225"/>
      <w:bookmarkStart w:id="120" w:name="_Toc296944565"/>
      <w:bookmarkStart w:id="121" w:name="_Toc296891266"/>
      <w:r>
        <w:rPr>
          <w:rFonts w:hint="eastAsia" w:ascii="宋体" w:hAnsi="宋体" w:cs="宋体"/>
          <w:color w:val="000000"/>
          <w:sz w:val="28"/>
          <w:szCs w:val="28"/>
          <w:highlight w:val="none"/>
        </w:rPr>
        <w:t>件3：</w:t>
      </w:r>
      <w:bookmarkEnd w:id="115"/>
      <w:bookmarkEnd w:id="116"/>
      <w:bookmarkEnd w:id="117"/>
      <w:bookmarkEnd w:id="118"/>
      <w:bookmarkEnd w:id="119"/>
      <w:bookmarkEnd w:id="120"/>
      <w:bookmarkEnd w:id="121"/>
    </w:p>
    <w:p>
      <w:pPr>
        <w:spacing w:before="120" w:beforeLines="50" w:after="120"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工程质量保修书</w:t>
      </w:r>
    </w:p>
    <w:p>
      <w:pPr>
        <w:tabs>
          <w:tab w:val="left" w:pos="7616"/>
        </w:tabs>
        <w:adjustRightInd w:val="0"/>
        <w:spacing w:line="480" w:lineRule="exact"/>
        <w:ind w:right="63" w:rightChars="30" w:firstLine="420" w:firstLineChars="200"/>
        <w:jc w:val="left"/>
        <w:textAlignment w:val="baseline"/>
        <w:rPr>
          <w:rFonts w:ascii="宋体" w:hAnsi="宋体" w:cs="宋体"/>
          <w:szCs w:val="21"/>
          <w:highlight w:val="none"/>
          <w:u w:val="single"/>
        </w:rPr>
      </w:pPr>
      <w:r>
        <w:rPr>
          <w:rFonts w:hint="eastAsia" w:ascii="宋体" w:hAnsi="宋体" w:cs="宋体"/>
          <w:szCs w:val="21"/>
          <w:highlight w:val="none"/>
        </w:rPr>
        <w:t>发包人（全称）：</w:t>
      </w:r>
      <w:r>
        <w:rPr>
          <w:rFonts w:hint="eastAsia" w:ascii="宋体" w:hAnsi="宋体" w:cs="宋体"/>
          <w:szCs w:val="21"/>
          <w:highlight w:val="none"/>
          <w:u w:val="single"/>
        </w:rPr>
        <w:t xml:space="preserve">                       </w:t>
      </w:r>
    </w:p>
    <w:p>
      <w:pPr>
        <w:tabs>
          <w:tab w:val="left" w:pos="7200"/>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p>
    <w:p>
      <w:pPr>
        <w:tabs>
          <w:tab w:val="left" w:pos="5520"/>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发包人和承包人根据《中华人民共和国建筑法》和《建设工程质量管理条例》， 经协商一致就</w:t>
      </w:r>
      <w:r>
        <w:rPr>
          <w:rFonts w:hint="eastAsia" w:ascii="宋体" w:hAnsi="宋体" w:cs="宋体"/>
          <w:szCs w:val="21"/>
          <w:highlight w:val="none"/>
          <w:u w:val="single"/>
        </w:rPr>
        <w:t>怀普路（新普路-怀德中路）交通工程</w:t>
      </w:r>
      <w:r>
        <w:rPr>
          <w:rFonts w:hint="eastAsia" w:ascii="宋体" w:hAnsi="宋体" w:cs="宋体"/>
          <w:szCs w:val="21"/>
          <w:highlight w:val="none"/>
        </w:rPr>
        <w:t>工程全称）签订工程质量保修书。</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一、工程质量保修范围和内容</w:t>
      </w:r>
    </w:p>
    <w:p>
      <w:pPr>
        <w:tabs>
          <w:tab w:val="left" w:pos="567"/>
        </w:tabs>
        <w:adjustRightInd w:val="0"/>
        <w:spacing w:line="480" w:lineRule="exact"/>
        <w:ind w:right="63" w:rightChars="30" w:firstLine="388" w:firstLineChars="200"/>
        <w:jc w:val="left"/>
        <w:textAlignment w:val="baseline"/>
        <w:rPr>
          <w:rFonts w:ascii="宋体" w:hAnsi="宋体" w:cs="宋体"/>
          <w:szCs w:val="21"/>
          <w:highlight w:val="none"/>
        </w:rPr>
      </w:pPr>
      <w:r>
        <w:rPr>
          <w:rFonts w:hint="eastAsia" w:ascii="宋体" w:hAnsi="宋体" w:cs="宋体"/>
          <w:spacing w:val="-8"/>
          <w:szCs w:val="21"/>
          <w:highlight w:val="none"/>
        </w:rPr>
        <w:t>承包人在质量保修期内，按照有关法律规定和合同约定，承担工程质量保修</w:t>
      </w:r>
      <w:r>
        <w:rPr>
          <w:rFonts w:hint="eastAsia" w:ascii="宋体" w:hAnsi="宋体" w:cs="宋体"/>
          <w:szCs w:val="21"/>
          <w:highlight w:val="none"/>
        </w:rPr>
        <w:t>责任。</w:t>
      </w:r>
    </w:p>
    <w:p>
      <w:pPr>
        <w:tabs>
          <w:tab w:val="left" w:pos="9683"/>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质量保修范围包括工程量七清单范围内的所有内容</w:t>
      </w:r>
      <w:r>
        <w:rPr>
          <w:rFonts w:hint="eastAsia" w:ascii="宋体" w:hAnsi="宋体" w:cs="宋体"/>
          <w:spacing w:val="-32"/>
          <w:szCs w:val="21"/>
          <w:highlight w:val="none"/>
        </w:rPr>
        <w:t>，</w:t>
      </w:r>
      <w:r>
        <w:rPr>
          <w:rFonts w:hint="eastAsia" w:ascii="宋体" w:hAnsi="宋体" w:cs="宋体"/>
          <w:szCs w:val="21"/>
          <w:highlight w:val="none"/>
        </w:rPr>
        <w:t>以及双方约定的其他项目</w:t>
      </w:r>
      <w:r>
        <w:rPr>
          <w:rFonts w:hint="eastAsia" w:ascii="宋体" w:hAnsi="宋体" w:cs="宋体"/>
          <w:spacing w:val="-32"/>
          <w:szCs w:val="21"/>
          <w:highlight w:val="none"/>
        </w:rPr>
        <w:t>。</w:t>
      </w:r>
      <w:r>
        <w:rPr>
          <w:rFonts w:hint="eastAsia" w:ascii="宋体" w:hAnsi="宋体" w:cs="宋体"/>
          <w:szCs w:val="21"/>
          <w:highlight w:val="none"/>
        </w:rPr>
        <w:t>具体保修的内容</w:t>
      </w:r>
      <w:r>
        <w:rPr>
          <w:rFonts w:hint="eastAsia" w:ascii="宋体" w:hAnsi="宋体" w:cs="宋体"/>
          <w:spacing w:val="-32"/>
          <w:szCs w:val="21"/>
          <w:highlight w:val="none"/>
        </w:rPr>
        <w:t>，</w:t>
      </w:r>
      <w:r>
        <w:rPr>
          <w:rFonts w:hint="eastAsia" w:ascii="宋体" w:hAnsi="宋体" w:cs="宋体"/>
          <w:szCs w:val="21"/>
          <w:highlight w:val="none"/>
        </w:rPr>
        <w:t>双方约定如</w:t>
      </w:r>
      <w:r>
        <w:rPr>
          <w:rFonts w:hint="eastAsia" w:ascii="宋体" w:hAnsi="宋体" w:cs="宋体"/>
          <w:spacing w:val="-1"/>
          <w:szCs w:val="21"/>
          <w:highlight w:val="none"/>
        </w:rPr>
        <w:t>下</w:t>
      </w:r>
      <w:r>
        <w:rPr>
          <w:rFonts w:hint="eastAsia" w:ascii="宋体" w:hAnsi="宋体" w:cs="宋体"/>
          <w:szCs w:val="21"/>
          <w:highlight w:val="none"/>
        </w:rPr>
        <w:t>：</w:t>
      </w:r>
      <w:r>
        <w:rPr>
          <w:rFonts w:hint="eastAsia" w:ascii="宋体" w:hAnsi="宋体" w:cs="宋体"/>
          <w:szCs w:val="21"/>
          <w:highlight w:val="none"/>
          <w:u w:val="single"/>
        </w:rPr>
        <w:t xml:space="preserve"> /  </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二、质量保修期</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根据《建设工程质量管理条例》及有关规定，工程的质量保修期如下：</w:t>
      </w:r>
    </w:p>
    <w:p>
      <w:pPr>
        <w:tabs>
          <w:tab w:val="left" w:pos="567"/>
        </w:tabs>
        <w:adjustRightInd w:val="0"/>
        <w:spacing w:line="480" w:lineRule="exact"/>
        <w:ind w:right="63" w:rightChars="30" w:firstLine="388" w:firstLineChars="200"/>
        <w:jc w:val="left"/>
        <w:textAlignment w:val="baseline"/>
        <w:rPr>
          <w:rFonts w:ascii="宋体" w:hAnsi="宋体" w:cs="宋体"/>
          <w:spacing w:val="-8"/>
          <w:szCs w:val="21"/>
          <w:highlight w:val="none"/>
        </w:rPr>
      </w:pPr>
      <w:r>
        <w:rPr>
          <w:rFonts w:hint="eastAsia" w:ascii="宋体" w:hAnsi="宋体" w:cs="宋体"/>
          <w:spacing w:val="-8"/>
          <w:szCs w:val="21"/>
          <w:highlight w:val="none"/>
        </w:rPr>
        <w:t>本项目质保期为   年。</w:t>
      </w:r>
    </w:p>
    <w:p>
      <w:pPr>
        <w:tabs>
          <w:tab w:val="left" w:pos="567"/>
        </w:tabs>
        <w:adjustRightInd w:val="0"/>
        <w:spacing w:line="480" w:lineRule="exact"/>
        <w:ind w:right="63" w:rightChars="30" w:firstLine="388" w:firstLineChars="200"/>
        <w:jc w:val="left"/>
        <w:textAlignment w:val="baseline"/>
        <w:rPr>
          <w:rFonts w:ascii="宋体" w:hAnsi="宋体" w:cs="宋体"/>
          <w:spacing w:val="-8"/>
          <w:szCs w:val="21"/>
          <w:highlight w:val="none"/>
        </w:rPr>
      </w:pPr>
      <w:r>
        <w:rPr>
          <w:rFonts w:hint="eastAsia" w:ascii="宋体" w:hAnsi="宋体" w:cs="宋体"/>
          <w:spacing w:val="-8"/>
          <w:szCs w:val="21"/>
          <w:highlight w:val="none"/>
        </w:rPr>
        <w:t>质量保修期自工程竣工验收合格之日起计算。</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三、缺陷责任期</w:t>
      </w:r>
    </w:p>
    <w:p>
      <w:pPr>
        <w:tabs>
          <w:tab w:val="left" w:pos="2580"/>
          <w:tab w:val="left" w:pos="3315"/>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工程缺陷责任期为</w:t>
      </w:r>
      <w:r>
        <w:rPr>
          <w:rFonts w:hint="eastAsia" w:ascii="宋体" w:hAnsi="宋体" w:cs="宋体"/>
          <w:szCs w:val="21"/>
          <w:highlight w:val="none"/>
          <w:u w:val="single"/>
        </w:rPr>
        <w:t xml:space="preserve">    个</w:t>
      </w:r>
      <w:r>
        <w:rPr>
          <w:rFonts w:hint="eastAsia" w:ascii="宋体" w:hAnsi="宋体" w:cs="宋体"/>
          <w:szCs w:val="21"/>
          <w:highlight w:val="none"/>
        </w:rPr>
        <w:t>月</w:t>
      </w:r>
      <w:r>
        <w:rPr>
          <w:rFonts w:hint="eastAsia" w:ascii="宋体" w:hAnsi="宋体" w:cs="宋体"/>
          <w:spacing w:val="-94"/>
          <w:szCs w:val="21"/>
          <w:highlight w:val="none"/>
        </w:rPr>
        <w:t>，</w:t>
      </w:r>
      <w:r>
        <w:rPr>
          <w:rFonts w:hint="eastAsia" w:ascii="宋体" w:hAnsi="宋体" w:cs="宋体"/>
          <w:szCs w:val="21"/>
          <w:highlight w:val="none"/>
        </w:rPr>
        <w:t>缺陷责任期自工程实际竣工之日起计算</w:t>
      </w:r>
      <w:r>
        <w:rPr>
          <w:rFonts w:hint="eastAsia" w:ascii="宋体" w:hAnsi="宋体" w:cs="宋体"/>
          <w:spacing w:val="-16"/>
          <w:szCs w:val="21"/>
          <w:highlight w:val="none"/>
        </w:rPr>
        <w:t>。</w:t>
      </w:r>
      <w:r>
        <w:rPr>
          <w:rFonts w:hint="eastAsia" w:ascii="宋体" w:hAnsi="宋体" w:cs="宋体"/>
          <w:szCs w:val="21"/>
          <w:highlight w:val="none"/>
        </w:rPr>
        <w:t>单位工程先于全部工程进行验收</w:t>
      </w:r>
      <w:r>
        <w:rPr>
          <w:rFonts w:hint="eastAsia" w:ascii="宋体" w:hAnsi="宋体" w:cs="宋体"/>
          <w:spacing w:val="-94"/>
          <w:szCs w:val="21"/>
          <w:highlight w:val="none"/>
        </w:rPr>
        <w:t>，</w:t>
      </w:r>
      <w:r>
        <w:rPr>
          <w:rFonts w:hint="eastAsia" w:ascii="宋体" w:hAnsi="宋体" w:cs="宋体"/>
          <w:szCs w:val="21"/>
          <w:highlight w:val="none"/>
        </w:rPr>
        <w:t xml:space="preserve">单位工程缺陷责任期自单位工程验收合格之日起算。 </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四、质量保修责任</w:t>
      </w:r>
    </w:p>
    <w:p>
      <w:pPr>
        <w:tabs>
          <w:tab w:val="left" w:pos="2294"/>
        </w:tabs>
        <w:autoSpaceDE w:val="0"/>
        <w:autoSpaceDN w:val="0"/>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1、属于保修范围、内容的项目，承包人应当在接到保修通知之日起 7 天内派人保修。承包人不在约定期限内派人保修的，发包人可以委托他人修理。</w:t>
      </w:r>
    </w:p>
    <w:p>
      <w:pPr>
        <w:tabs>
          <w:tab w:val="left" w:pos="2294"/>
        </w:tabs>
        <w:autoSpaceDE w:val="0"/>
        <w:autoSpaceDN w:val="0"/>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2、发生紧急事故需抢修的，承包人在接到事故通知后，应当立即到达事故现场抢修。</w:t>
      </w:r>
    </w:p>
    <w:p>
      <w:pPr>
        <w:tabs>
          <w:tab w:val="left" w:pos="2294"/>
        </w:tabs>
        <w:autoSpaceDE w:val="0"/>
        <w:autoSpaceDN w:val="0"/>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3、对于涉及结构安全的质量问题，应当按照《建设工程质量管理条例》的规定，立即向当地建设行政主管部门和有关部门报告，采取安全防范措施， 并由原设计人或者具有相应资质等级的设计人提出保修方案，承包人实施保修。</w:t>
      </w:r>
    </w:p>
    <w:p>
      <w:pPr>
        <w:tabs>
          <w:tab w:val="left" w:pos="2282"/>
        </w:tabs>
        <w:autoSpaceDE w:val="0"/>
        <w:autoSpaceDN w:val="0"/>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4、质量保修完成后，由发包人组织验收。</w:t>
      </w:r>
    </w:p>
    <w:p>
      <w:pPr>
        <w:tabs>
          <w:tab w:val="left" w:pos="2282"/>
        </w:tabs>
        <w:autoSpaceDE w:val="0"/>
        <w:autoSpaceDN w:val="0"/>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五、保修费用</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保修费用由造成质量缺陷的责任方承担。</w:t>
      </w:r>
    </w:p>
    <w:p>
      <w:pPr>
        <w:tabs>
          <w:tab w:val="left" w:pos="8400"/>
        </w:tabs>
        <w:adjustRightInd w:val="0"/>
        <w:spacing w:line="480" w:lineRule="exact"/>
        <w:ind w:right="63" w:rightChars="30" w:firstLine="422" w:firstLineChars="200"/>
        <w:jc w:val="left"/>
        <w:textAlignment w:val="baseline"/>
        <w:rPr>
          <w:rFonts w:ascii="宋体" w:hAnsi="宋体" w:cs="宋体"/>
          <w:szCs w:val="21"/>
          <w:highlight w:val="none"/>
        </w:rPr>
      </w:pPr>
      <w:r>
        <w:rPr>
          <w:rFonts w:hint="eastAsia" w:ascii="宋体" w:hAnsi="宋体" w:cs="宋体"/>
          <w:b/>
          <w:szCs w:val="21"/>
          <w:highlight w:val="none"/>
        </w:rPr>
        <w:t>六</w:t>
      </w:r>
      <w:r>
        <w:rPr>
          <w:rFonts w:hint="eastAsia" w:ascii="宋体" w:hAnsi="宋体" w:cs="宋体"/>
          <w:szCs w:val="21"/>
          <w:highlight w:val="none"/>
        </w:rPr>
        <w:t>、双方约定的其他</w:t>
      </w:r>
      <w:r>
        <w:rPr>
          <w:rFonts w:hint="eastAsia" w:ascii="宋体" w:hAnsi="宋体" w:cs="宋体"/>
          <w:spacing w:val="-3"/>
          <w:szCs w:val="21"/>
          <w:highlight w:val="none"/>
        </w:rPr>
        <w:t>工</w:t>
      </w:r>
      <w:r>
        <w:rPr>
          <w:rFonts w:hint="eastAsia" w:ascii="宋体" w:hAnsi="宋体" w:cs="宋体"/>
          <w:szCs w:val="21"/>
          <w:highlight w:val="none"/>
        </w:rPr>
        <w:t>程质量保修事项：</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w:t>
      </w:r>
    </w:p>
    <w:p>
      <w:pPr>
        <w:tabs>
          <w:tab w:val="left" w:pos="9241"/>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工程质量保修书由发包人</w:t>
      </w:r>
      <w:r>
        <w:rPr>
          <w:rFonts w:hint="eastAsia" w:ascii="宋体" w:hAnsi="宋体" w:cs="宋体"/>
          <w:spacing w:val="-36"/>
          <w:szCs w:val="21"/>
          <w:highlight w:val="none"/>
        </w:rPr>
        <w:t>、</w:t>
      </w:r>
      <w:r>
        <w:rPr>
          <w:rFonts w:hint="eastAsia" w:ascii="宋体" w:hAnsi="宋体" w:cs="宋体"/>
          <w:szCs w:val="21"/>
          <w:highlight w:val="none"/>
        </w:rPr>
        <w:t>承包人在工程竣工验收前共同签署</w:t>
      </w:r>
      <w:r>
        <w:rPr>
          <w:rFonts w:hint="eastAsia" w:ascii="宋体" w:hAnsi="宋体" w:cs="宋体"/>
          <w:spacing w:val="-36"/>
          <w:szCs w:val="21"/>
          <w:highlight w:val="none"/>
        </w:rPr>
        <w:t>，</w:t>
      </w:r>
      <w:r>
        <w:rPr>
          <w:rFonts w:hint="eastAsia" w:ascii="宋体" w:hAnsi="宋体" w:cs="宋体"/>
          <w:szCs w:val="21"/>
          <w:highlight w:val="none"/>
        </w:rPr>
        <w:t>作为施工</w:t>
      </w:r>
      <w:r>
        <w:rPr>
          <w:rFonts w:hint="eastAsia" w:ascii="宋体" w:hAnsi="宋体" w:cs="宋体"/>
          <w:spacing w:val="-19"/>
          <w:szCs w:val="21"/>
          <w:highlight w:val="none"/>
        </w:rPr>
        <w:t>合</w:t>
      </w:r>
    </w:p>
    <w:p>
      <w:pPr>
        <w:tabs>
          <w:tab w:val="left" w:pos="567"/>
        </w:tabs>
        <w:adjustRightInd w:val="0"/>
        <w:spacing w:line="480" w:lineRule="exact"/>
        <w:ind w:right="63" w:rightChars="30" w:firstLine="420" w:firstLineChars="200"/>
        <w:jc w:val="left"/>
        <w:textAlignment w:val="baseline"/>
        <w:rPr>
          <w:rFonts w:ascii="宋体" w:hAnsi="宋体" w:cs="宋体"/>
          <w:szCs w:val="21"/>
          <w:highlight w:val="none"/>
        </w:rPr>
      </w:pPr>
      <w:r>
        <w:rPr>
          <w:rFonts w:hint="eastAsia" w:ascii="宋体" w:hAnsi="宋体" w:cs="宋体"/>
          <w:szCs w:val="21"/>
          <w:highlight w:val="none"/>
        </w:rPr>
        <w:t>同附件，其有效期限至保修期满。</w:t>
      </w:r>
    </w:p>
    <w:p>
      <w:pPr>
        <w:spacing w:line="480" w:lineRule="exact"/>
        <w:ind w:firstLine="420" w:firstLineChars="200"/>
        <w:jc w:val="left"/>
        <w:rPr>
          <w:rFonts w:ascii="宋体" w:hAnsi="宋体" w:cs="宋体"/>
          <w:szCs w:val="21"/>
          <w:highlight w:val="none"/>
        </w:rPr>
      </w:pP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 xml:space="preserve">发包人(公章)： </w:t>
      </w:r>
      <w:r>
        <w:rPr>
          <w:rFonts w:hint="eastAsia" w:ascii="宋体" w:hAnsi="宋体" w:cs="宋体"/>
          <w:szCs w:val="21"/>
          <w:highlight w:val="none"/>
        </w:rPr>
        <w:tab/>
      </w:r>
      <w:r>
        <w:rPr>
          <w:rFonts w:hint="eastAsia" w:ascii="宋体" w:hAnsi="宋体" w:cs="宋体"/>
          <w:szCs w:val="21"/>
          <w:highlight w:val="none"/>
        </w:rPr>
        <w:t xml:space="preserve">                           承包人(公章)：</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地</w:t>
      </w:r>
      <w:r>
        <w:rPr>
          <w:rFonts w:hint="eastAsia" w:ascii="宋体" w:hAnsi="宋体" w:cs="宋体"/>
          <w:spacing w:val="119"/>
          <w:szCs w:val="21"/>
          <w:highlight w:val="none"/>
        </w:rPr>
        <w:t xml:space="preserve"> </w:t>
      </w:r>
      <w:r>
        <w:rPr>
          <w:rFonts w:hint="eastAsia" w:ascii="宋体" w:hAnsi="宋体" w:cs="宋体"/>
          <w:szCs w:val="21"/>
          <w:highlight w:val="none"/>
        </w:rPr>
        <w:t xml:space="preserve">址： </w:t>
      </w:r>
      <w:r>
        <w:rPr>
          <w:rFonts w:hint="eastAsia" w:ascii="宋体" w:hAnsi="宋体" w:cs="宋体"/>
          <w:szCs w:val="21"/>
          <w:highlight w:val="none"/>
        </w:rPr>
        <w:tab/>
      </w:r>
      <w:r>
        <w:rPr>
          <w:rFonts w:hint="eastAsia" w:ascii="宋体" w:hAnsi="宋体" w:cs="宋体"/>
          <w:szCs w:val="21"/>
          <w:highlight w:val="none"/>
        </w:rPr>
        <w:t xml:space="preserve">                               地  址：</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 xml:space="preserve">法定代表人(签字)： </w:t>
      </w:r>
      <w:r>
        <w:rPr>
          <w:rFonts w:hint="eastAsia" w:ascii="宋体" w:hAnsi="宋体" w:cs="宋体"/>
          <w:szCs w:val="21"/>
          <w:highlight w:val="none"/>
        </w:rPr>
        <w:tab/>
      </w:r>
      <w:r>
        <w:rPr>
          <w:rFonts w:hint="eastAsia" w:ascii="宋体" w:hAnsi="宋体" w:cs="宋体"/>
          <w:szCs w:val="21"/>
          <w:highlight w:val="none"/>
        </w:rPr>
        <w:t xml:space="preserve">                       法定代表人(签字)：</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 xml:space="preserve">委托代理人(签字)： </w:t>
      </w:r>
      <w:r>
        <w:rPr>
          <w:rFonts w:hint="eastAsia" w:ascii="宋体" w:hAnsi="宋体" w:cs="宋体"/>
          <w:szCs w:val="21"/>
          <w:highlight w:val="none"/>
        </w:rPr>
        <w:tab/>
      </w:r>
      <w:r>
        <w:rPr>
          <w:rFonts w:hint="eastAsia" w:ascii="宋体" w:hAnsi="宋体" w:cs="宋体"/>
          <w:szCs w:val="21"/>
          <w:highlight w:val="none"/>
        </w:rPr>
        <w:t xml:space="preserve">                       委托代理人(签字)：</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电</w:t>
      </w:r>
      <w:r>
        <w:rPr>
          <w:rFonts w:hint="eastAsia" w:ascii="宋体" w:hAnsi="宋体" w:cs="宋体"/>
          <w:spacing w:val="119"/>
          <w:szCs w:val="21"/>
          <w:highlight w:val="none"/>
        </w:rPr>
        <w:t xml:space="preserve"> </w:t>
      </w:r>
      <w:r>
        <w:rPr>
          <w:rFonts w:hint="eastAsia" w:ascii="宋体" w:hAnsi="宋体" w:cs="宋体"/>
          <w:szCs w:val="21"/>
          <w:highlight w:val="none"/>
        </w:rPr>
        <w:t xml:space="preserve">话： </w:t>
      </w:r>
      <w:r>
        <w:rPr>
          <w:rFonts w:hint="eastAsia" w:ascii="宋体" w:hAnsi="宋体" w:cs="宋体"/>
          <w:szCs w:val="21"/>
          <w:highlight w:val="none"/>
        </w:rPr>
        <w:tab/>
      </w:r>
      <w:r>
        <w:rPr>
          <w:rFonts w:hint="eastAsia" w:ascii="宋体" w:hAnsi="宋体" w:cs="宋体"/>
          <w:szCs w:val="21"/>
          <w:highlight w:val="none"/>
        </w:rPr>
        <w:t xml:space="preserve">                               电  话：</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传</w:t>
      </w:r>
      <w:r>
        <w:rPr>
          <w:rFonts w:hint="eastAsia" w:ascii="宋体" w:hAnsi="宋体" w:cs="宋体"/>
          <w:spacing w:val="119"/>
          <w:szCs w:val="21"/>
          <w:highlight w:val="none"/>
        </w:rPr>
        <w:t xml:space="preserve"> </w:t>
      </w:r>
      <w:r>
        <w:rPr>
          <w:rFonts w:hint="eastAsia" w:ascii="宋体" w:hAnsi="宋体" w:cs="宋体"/>
          <w:szCs w:val="21"/>
          <w:highlight w:val="none"/>
        </w:rPr>
        <w:t xml:space="preserve">真： </w:t>
      </w:r>
      <w:r>
        <w:rPr>
          <w:rFonts w:hint="eastAsia" w:ascii="宋体" w:hAnsi="宋体" w:cs="宋体"/>
          <w:szCs w:val="21"/>
          <w:highlight w:val="none"/>
        </w:rPr>
        <w:tab/>
      </w:r>
      <w:r>
        <w:rPr>
          <w:rFonts w:hint="eastAsia" w:ascii="宋体" w:hAnsi="宋体" w:cs="宋体"/>
          <w:szCs w:val="21"/>
          <w:highlight w:val="none"/>
        </w:rPr>
        <w:t xml:space="preserve">                               传  真：</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 xml:space="preserve">开户银行： </w:t>
      </w:r>
      <w:r>
        <w:rPr>
          <w:rFonts w:hint="eastAsia" w:ascii="宋体" w:hAnsi="宋体" w:cs="宋体"/>
          <w:szCs w:val="21"/>
          <w:highlight w:val="none"/>
        </w:rPr>
        <w:tab/>
      </w:r>
      <w:r>
        <w:rPr>
          <w:rFonts w:hint="eastAsia" w:ascii="宋体" w:hAnsi="宋体" w:cs="宋体"/>
          <w:szCs w:val="21"/>
          <w:highlight w:val="none"/>
        </w:rPr>
        <w:t xml:space="preserve">                               开户银行：</w:t>
      </w:r>
    </w:p>
    <w:p>
      <w:pPr>
        <w:spacing w:line="48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账</w:t>
      </w:r>
      <w:r>
        <w:rPr>
          <w:rFonts w:hint="eastAsia" w:ascii="宋体" w:hAnsi="宋体" w:cs="宋体"/>
          <w:spacing w:val="119"/>
          <w:szCs w:val="21"/>
          <w:highlight w:val="none"/>
        </w:rPr>
        <w:t xml:space="preserve"> </w:t>
      </w:r>
      <w:r>
        <w:rPr>
          <w:rFonts w:hint="eastAsia" w:ascii="宋体" w:hAnsi="宋体" w:cs="宋体"/>
          <w:szCs w:val="21"/>
          <w:highlight w:val="none"/>
        </w:rPr>
        <w:t xml:space="preserve">号： </w:t>
      </w:r>
      <w:r>
        <w:rPr>
          <w:rFonts w:hint="eastAsia" w:ascii="宋体" w:hAnsi="宋体" w:cs="宋体"/>
          <w:szCs w:val="21"/>
          <w:highlight w:val="none"/>
        </w:rPr>
        <w:tab/>
      </w:r>
      <w:r>
        <w:rPr>
          <w:rFonts w:hint="eastAsia" w:ascii="宋体" w:hAnsi="宋体" w:cs="宋体"/>
          <w:szCs w:val="21"/>
          <w:highlight w:val="none"/>
        </w:rPr>
        <w:t xml:space="preserve">                               账  号：</w:t>
      </w:r>
    </w:p>
    <w:p>
      <w:pPr>
        <w:spacing w:line="480" w:lineRule="exact"/>
        <w:ind w:firstLine="420" w:firstLineChars="200"/>
        <w:jc w:val="left"/>
        <w:rPr>
          <w:rFonts w:ascii="宋体" w:hAnsi="宋体" w:cs="宋体"/>
          <w:szCs w:val="21"/>
          <w:highlight w:val="none"/>
        </w:rPr>
      </w:pPr>
      <w:r>
        <w:rPr>
          <w:rFonts w:hint="eastAsia" w:ascii="宋体" w:hAnsi="宋体" w:cs="宋体"/>
          <w:szCs w:val="21"/>
          <w:highlight w:val="none"/>
        </w:rPr>
        <w:t>邮政编码：                                  邮政编码：</w:t>
      </w:r>
    </w:p>
    <w:p>
      <w:pPr>
        <w:spacing w:line="360" w:lineRule="auto"/>
        <w:rPr>
          <w:rFonts w:ascii="宋体" w:hAnsi="宋体" w:cs="宋体"/>
          <w:szCs w:val="21"/>
          <w:highlight w:val="none"/>
        </w:rPr>
      </w:pPr>
    </w:p>
    <w:p>
      <w:pPr>
        <w:spacing w:line="360" w:lineRule="auto"/>
        <w:jc w:val="center"/>
        <w:rPr>
          <w:rFonts w:ascii="宋体" w:hAnsi="宋体" w:cs="宋体"/>
          <w:b/>
          <w:spacing w:val="100"/>
          <w:szCs w:val="21"/>
          <w:highlight w:val="none"/>
        </w:rPr>
      </w:pPr>
    </w:p>
    <w:p>
      <w:pPr>
        <w:spacing w:line="360" w:lineRule="auto"/>
        <w:jc w:val="center"/>
        <w:rPr>
          <w:rFonts w:ascii="宋体" w:hAnsi="宋体" w:cs="宋体"/>
          <w:b/>
          <w:spacing w:val="100"/>
          <w:sz w:val="28"/>
          <w:szCs w:val="28"/>
          <w:highlight w:val="none"/>
        </w:rPr>
      </w:pPr>
    </w:p>
    <w:p>
      <w:pPr>
        <w:spacing w:line="360" w:lineRule="auto"/>
        <w:jc w:val="center"/>
        <w:rPr>
          <w:rFonts w:ascii="宋体" w:hAnsi="宋体" w:cs="宋体"/>
          <w:b/>
          <w:spacing w:val="100"/>
          <w:sz w:val="28"/>
          <w:szCs w:val="28"/>
          <w:highlight w:val="none"/>
        </w:rPr>
      </w:pPr>
    </w:p>
    <w:p>
      <w:pPr>
        <w:spacing w:line="440" w:lineRule="exact"/>
        <w:rPr>
          <w:rFonts w:ascii="宋体" w:hAnsi="宋体" w:cs="宋体"/>
          <w:b/>
          <w:color w:val="000000"/>
          <w:sz w:val="30"/>
          <w:szCs w:val="30"/>
          <w:highlight w:val="none"/>
        </w:rPr>
        <w:sectPr>
          <w:pgSz w:w="11907" w:h="16840"/>
          <w:pgMar w:top="1440" w:right="1559" w:bottom="1440" w:left="1560" w:header="851" w:footer="851" w:gutter="0"/>
          <w:cols w:space="720" w:num="1"/>
          <w:docGrid w:linePitch="312" w:charSpace="0"/>
        </w:sectPr>
      </w:pPr>
    </w:p>
    <w:p>
      <w:pPr>
        <w:spacing w:line="440" w:lineRule="exact"/>
        <w:rPr>
          <w:rFonts w:ascii="宋体" w:hAnsi="宋体" w:cs="宋体"/>
          <w:color w:val="000000"/>
          <w:sz w:val="28"/>
          <w:szCs w:val="28"/>
          <w:highlight w:val="none"/>
        </w:rPr>
      </w:pPr>
      <w:r>
        <w:rPr>
          <w:rFonts w:hint="eastAsia" w:ascii="宋体" w:hAnsi="宋体" w:cs="宋体"/>
          <w:color w:val="000000"/>
          <w:sz w:val="28"/>
          <w:szCs w:val="28"/>
          <w:highlight w:val="none"/>
        </w:rPr>
        <w:t>附件4：</w:t>
      </w:r>
    </w:p>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主要建设工程文件目录</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文件名称</w:t>
            </w:r>
          </w:p>
        </w:tc>
        <w:tc>
          <w:tcPr>
            <w:tcW w:w="1276"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套数</w:t>
            </w:r>
          </w:p>
        </w:tc>
        <w:tc>
          <w:tcPr>
            <w:tcW w:w="145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费用（元）</w:t>
            </w:r>
          </w:p>
        </w:tc>
        <w:tc>
          <w:tcPr>
            <w:tcW w:w="1243"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质量</w:t>
            </w:r>
          </w:p>
        </w:tc>
        <w:tc>
          <w:tcPr>
            <w:tcW w:w="1450" w:type="dxa"/>
            <w:tcBorders>
              <w:top w:val="single" w:color="auto" w:sz="12" w:space="0"/>
              <w:bottom w:val="double" w:color="auto" w:sz="6" w:space="0"/>
            </w:tcBorders>
          </w:tcPr>
          <w:p>
            <w:pPr>
              <w:spacing w:line="440" w:lineRule="exact"/>
              <w:jc w:val="center"/>
              <w:rPr>
                <w:rFonts w:ascii="宋体" w:hAnsi="宋体" w:cs="宋体"/>
                <w:color w:val="000000"/>
                <w:sz w:val="28"/>
                <w:szCs w:val="30"/>
                <w:highlight w:val="none"/>
              </w:rPr>
            </w:pPr>
            <w:r>
              <w:rPr>
                <w:rFonts w:hint="eastAsia" w:ascii="宋体" w:hAnsi="宋体" w:cs="宋体"/>
                <w:color w:val="000000"/>
                <w:sz w:val="28"/>
                <w:szCs w:val="30"/>
                <w:highlight w:val="none"/>
              </w:rPr>
              <w:t>移交时间</w:t>
            </w:r>
          </w:p>
        </w:tc>
        <w:tc>
          <w:tcPr>
            <w:tcW w:w="1667" w:type="dxa"/>
            <w:tcBorders>
              <w:top w:val="single" w:color="auto" w:sz="12" w:space="0"/>
              <w:bottom w:val="double" w:color="auto" w:sz="6" w:space="0"/>
            </w:tcBorders>
          </w:tcPr>
          <w:p>
            <w:pPr>
              <w:spacing w:line="440" w:lineRule="exact"/>
              <w:jc w:val="center"/>
              <w:rPr>
                <w:rFonts w:ascii="宋体" w:hAnsi="宋体" w:cs="宋体"/>
                <w:color w:val="000000"/>
                <w:sz w:val="28"/>
                <w:szCs w:val="30"/>
                <w:highlight w:val="none"/>
              </w:rPr>
            </w:pPr>
            <w:r>
              <w:rPr>
                <w:rFonts w:hint="eastAsia" w:ascii="宋体" w:hAnsi="宋体" w:cs="宋体"/>
                <w:color w:val="000000"/>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76"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243"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667"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s="宋体"/>
                <w:color w:val="000000"/>
                <w:sz w:val="30"/>
                <w:szCs w:val="30"/>
                <w:highlight w:val="none"/>
              </w:rPr>
            </w:pPr>
          </w:p>
        </w:tc>
        <w:tc>
          <w:tcPr>
            <w:tcW w:w="1276"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243" w:type="dxa"/>
          </w:tcPr>
          <w:p>
            <w:pPr>
              <w:rPr>
                <w:rFonts w:ascii="宋体" w:hAnsi="宋体" w:cs="宋体"/>
                <w:color w:val="000000"/>
                <w:sz w:val="30"/>
                <w:szCs w:val="30"/>
                <w:highlight w:val="none"/>
              </w:rPr>
            </w:pPr>
          </w:p>
        </w:tc>
        <w:tc>
          <w:tcPr>
            <w:tcW w:w="1450" w:type="dxa"/>
          </w:tcPr>
          <w:p>
            <w:pPr>
              <w:rPr>
                <w:rFonts w:ascii="宋体" w:hAnsi="宋体" w:cs="宋体"/>
                <w:color w:val="000000"/>
                <w:sz w:val="30"/>
                <w:szCs w:val="30"/>
                <w:highlight w:val="none"/>
              </w:rPr>
            </w:pPr>
          </w:p>
        </w:tc>
        <w:tc>
          <w:tcPr>
            <w:tcW w:w="1667" w:type="dxa"/>
          </w:tcPr>
          <w:p>
            <w:pPr>
              <w:rPr>
                <w:rFonts w:ascii="宋体" w:hAnsi="宋体" w:cs="宋体"/>
                <w:color w:val="000000"/>
                <w:sz w:val="30"/>
                <w:szCs w:val="30"/>
                <w:highlight w:val="none"/>
              </w:rPr>
            </w:pPr>
          </w:p>
        </w:tc>
      </w:tr>
    </w:tbl>
    <w:p>
      <w:pPr>
        <w:spacing w:line="440" w:lineRule="exact"/>
        <w:rPr>
          <w:rFonts w:ascii="宋体" w:hAnsi="宋体" w:cs="宋体"/>
          <w:color w:val="000000"/>
          <w:sz w:val="30"/>
          <w:szCs w:val="30"/>
          <w:highlight w:val="none"/>
        </w:rPr>
      </w:pPr>
    </w:p>
    <w:p>
      <w:pPr>
        <w:spacing w:line="440" w:lineRule="exact"/>
        <w:rPr>
          <w:rFonts w:ascii="宋体" w:hAnsi="宋体" w:cs="宋体"/>
          <w:color w:val="000000"/>
          <w:sz w:val="30"/>
          <w:szCs w:val="30"/>
          <w:highlight w:val="none"/>
        </w:rPr>
      </w:pPr>
      <w:r>
        <w:rPr>
          <w:rFonts w:hint="eastAsia" w:ascii="宋体" w:hAnsi="宋体" w:cs="宋体"/>
          <w:color w:val="000000"/>
          <w:sz w:val="30"/>
          <w:szCs w:val="30"/>
          <w:highlight w:val="none"/>
        </w:rPr>
        <w:br w:type="page"/>
      </w:r>
      <w:r>
        <w:rPr>
          <w:rFonts w:hint="eastAsia" w:ascii="宋体" w:hAnsi="宋体" w:cs="宋体"/>
          <w:color w:val="000000"/>
          <w:sz w:val="28"/>
          <w:szCs w:val="28"/>
          <w:highlight w:val="none"/>
        </w:rPr>
        <w:t>附</w:t>
      </w:r>
      <w:bookmarkStart w:id="122" w:name="_Toc296891267"/>
      <w:bookmarkStart w:id="123" w:name="_Toc296346728"/>
      <w:bookmarkStart w:id="124" w:name="_Toc267261698"/>
      <w:bookmarkStart w:id="125" w:name="_Toc296944566"/>
      <w:bookmarkStart w:id="126" w:name="_Toc296347226"/>
      <w:bookmarkStart w:id="127" w:name="_Toc296891055"/>
      <w:bookmarkStart w:id="128" w:name="_Toc296503227"/>
      <w:r>
        <w:rPr>
          <w:rFonts w:hint="eastAsia" w:ascii="宋体" w:hAnsi="宋体" w:cs="宋体"/>
          <w:color w:val="000000"/>
          <w:sz w:val="28"/>
          <w:szCs w:val="28"/>
          <w:highlight w:val="none"/>
        </w:rPr>
        <w:t>件5：</w:t>
      </w:r>
    </w:p>
    <w:bookmarkEnd w:id="122"/>
    <w:bookmarkEnd w:id="123"/>
    <w:bookmarkEnd w:id="124"/>
    <w:bookmarkEnd w:id="125"/>
    <w:bookmarkEnd w:id="126"/>
    <w:bookmarkEnd w:id="127"/>
    <w:bookmarkEnd w:id="128"/>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承包人用于本工程施工的机械设备表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序号</w:t>
            </w:r>
          </w:p>
        </w:tc>
        <w:tc>
          <w:tcPr>
            <w:tcW w:w="1418"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机械或设备名称</w:t>
            </w:r>
          </w:p>
        </w:tc>
        <w:tc>
          <w:tcPr>
            <w:tcW w:w="85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规格型号</w:t>
            </w:r>
          </w:p>
        </w:tc>
        <w:tc>
          <w:tcPr>
            <w:tcW w:w="1058"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数量</w:t>
            </w:r>
          </w:p>
        </w:tc>
        <w:tc>
          <w:tcPr>
            <w:tcW w:w="88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产地</w:t>
            </w:r>
          </w:p>
        </w:tc>
        <w:tc>
          <w:tcPr>
            <w:tcW w:w="102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制造年份</w:t>
            </w:r>
          </w:p>
        </w:tc>
        <w:tc>
          <w:tcPr>
            <w:tcW w:w="148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额定功率(kW)</w:t>
            </w:r>
          </w:p>
        </w:tc>
        <w:tc>
          <w:tcPr>
            <w:tcW w:w="1020"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生产能力</w:t>
            </w:r>
          </w:p>
        </w:tc>
        <w:tc>
          <w:tcPr>
            <w:tcW w:w="92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5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58"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8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48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020"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921"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s="宋体"/>
                <w:color w:val="000000"/>
                <w:sz w:val="30"/>
                <w:szCs w:val="30"/>
                <w:highlight w:val="none"/>
              </w:rPr>
            </w:pPr>
          </w:p>
        </w:tc>
        <w:tc>
          <w:tcPr>
            <w:tcW w:w="1418" w:type="dxa"/>
          </w:tcPr>
          <w:p>
            <w:pPr>
              <w:rPr>
                <w:rFonts w:ascii="宋体" w:hAnsi="宋体" w:cs="宋体"/>
                <w:color w:val="000000"/>
                <w:sz w:val="30"/>
                <w:szCs w:val="30"/>
                <w:highlight w:val="none"/>
              </w:rPr>
            </w:pPr>
          </w:p>
        </w:tc>
        <w:tc>
          <w:tcPr>
            <w:tcW w:w="850" w:type="dxa"/>
          </w:tcPr>
          <w:p>
            <w:pPr>
              <w:rPr>
                <w:rFonts w:ascii="宋体" w:hAnsi="宋体" w:cs="宋体"/>
                <w:color w:val="000000"/>
                <w:sz w:val="30"/>
                <w:szCs w:val="30"/>
                <w:highlight w:val="none"/>
              </w:rPr>
            </w:pPr>
          </w:p>
        </w:tc>
        <w:tc>
          <w:tcPr>
            <w:tcW w:w="1058" w:type="dxa"/>
          </w:tcPr>
          <w:p>
            <w:pPr>
              <w:rPr>
                <w:rFonts w:ascii="宋体" w:hAnsi="宋体" w:cs="宋体"/>
                <w:color w:val="000000"/>
                <w:sz w:val="30"/>
                <w:szCs w:val="30"/>
                <w:highlight w:val="none"/>
              </w:rPr>
            </w:pPr>
          </w:p>
        </w:tc>
        <w:tc>
          <w:tcPr>
            <w:tcW w:w="8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1480" w:type="dxa"/>
          </w:tcPr>
          <w:p>
            <w:pPr>
              <w:rPr>
                <w:rFonts w:ascii="宋体" w:hAnsi="宋体" w:cs="宋体"/>
                <w:color w:val="000000"/>
                <w:sz w:val="30"/>
                <w:szCs w:val="30"/>
                <w:highlight w:val="none"/>
              </w:rPr>
            </w:pPr>
          </w:p>
        </w:tc>
        <w:tc>
          <w:tcPr>
            <w:tcW w:w="1020" w:type="dxa"/>
          </w:tcPr>
          <w:p>
            <w:pPr>
              <w:rPr>
                <w:rFonts w:ascii="宋体" w:hAnsi="宋体" w:cs="宋体"/>
                <w:color w:val="000000"/>
                <w:sz w:val="30"/>
                <w:szCs w:val="30"/>
                <w:highlight w:val="none"/>
              </w:rPr>
            </w:pPr>
          </w:p>
        </w:tc>
        <w:tc>
          <w:tcPr>
            <w:tcW w:w="921" w:type="dxa"/>
          </w:tcPr>
          <w:p>
            <w:pPr>
              <w:rPr>
                <w:rFonts w:ascii="宋体" w:hAnsi="宋体" w:cs="宋体"/>
                <w:color w:val="000000"/>
                <w:sz w:val="30"/>
                <w:szCs w:val="30"/>
                <w:highlight w:val="none"/>
              </w:rPr>
            </w:pPr>
          </w:p>
        </w:tc>
      </w:tr>
    </w:tbl>
    <w:p>
      <w:pPr>
        <w:spacing w:line="440" w:lineRule="exact"/>
        <w:rPr>
          <w:rFonts w:ascii="宋体" w:hAnsi="宋体" w:cs="宋体"/>
          <w:color w:val="000000"/>
          <w:sz w:val="28"/>
          <w:szCs w:val="28"/>
          <w:highlight w:val="none"/>
        </w:rPr>
      </w:pPr>
      <w:r>
        <w:rPr>
          <w:rFonts w:hint="eastAsia" w:ascii="宋体" w:hAnsi="宋体" w:cs="宋体"/>
          <w:color w:val="000000"/>
          <w:sz w:val="28"/>
          <w:szCs w:val="28"/>
          <w:highlight w:val="none"/>
        </w:rPr>
        <w:t>附</w:t>
      </w:r>
      <w:bookmarkStart w:id="129" w:name="_Toc296347227"/>
      <w:bookmarkStart w:id="130" w:name="_Toc296503228"/>
      <w:bookmarkStart w:id="131" w:name="_Toc267261699"/>
      <w:bookmarkStart w:id="132" w:name="_Toc296891056"/>
      <w:bookmarkStart w:id="133" w:name="_Toc296346729"/>
      <w:bookmarkStart w:id="134" w:name="_Toc296891268"/>
      <w:bookmarkStart w:id="135" w:name="_Toc296944567"/>
      <w:r>
        <w:rPr>
          <w:rFonts w:hint="eastAsia" w:ascii="宋体" w:hAnsi="宋体" w:cs="宋体"/>
          <w:color w:val="000000"/>
          <w:sz w:val="28"/>
          <w:szCs w:val="28"/>
          <w:highlight w:val="none"/>
        </w:rPr>
        <w:t>件6：</w:t>
      </w:r>
    </w:p>
    <w:bookmarkEnd w:id="129"/>
    <w:bookmarkEnd w:id="130"/>
    <w:bookmarkEnd w:id="131"/>
    <w:bookmarkEnd w:id="132"/>
    <w:bookmarkEnd w:id="133"/>
    <w:bookmarkEnd w:id="134"/>
    <w:bookmarkEnd w:id="135"/>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承包人主要施工管理人员表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名称</w:t>
            </w:r>
          </w:p>
        </w:tc>
        <w:tc>
          <w:tcPr>
            <w:tcW w:w="1418"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姓名</w:t>
            </w:r>
          </w:p>
        </w:tc>
        <w:tc>
          <w:tcPr>
            <w:tcW w:w="1134"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职务</w:t>
            </w:r>
          </w:p>
        </w:tc>
        <w:tc>
          <w:tcPr>
            <w:tcW w:w="1134"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职称</w:t>
            </w:r>
          </w:p>
        </w:tc>
        <w:tc>
          <w:tcPr>
            <w:tcW w:w="4252" w:type="dxa"/>
            <w:tcBorders>
              <w:top w:val="single" w:color="auto" w:sz="12" w:space="0"/>
              <w:bottom w:val="doub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项目主管</w:t>
            </w:r>
          </w:p>
        </w:tc>
        <w:tc>
          <w:tcPr>
            <w:tcW w:w="1418"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tcBorders>
              <w:top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其他人员</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项目经理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项目副经理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技术负责人</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造价管理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质量管理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材料管理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计划管理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安全管理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其他人员</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tcBorders>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tcBorders>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tcBorders>
              <w:bottom w:val="nil"/>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bottom w:val="single" w:color="auto" w:sz="12"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tcBorders>
              <w:bottom w:val="single" w:color="auto" w:sz="12"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tcBorders>
              <w:bottom w:val="single" w:color="auto" w:sz="12"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tcBorders>
              <w:bottom w:val="single" w:color="auto" w:sz="12" w:space="0"/>
            </w:tcBorders>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bl>
    <w:p>
      <w:pPr>
        <w:spacing w:line="440" w:lineRule="exact"/>
        <w:rPr>
          <w:rFonts w:ascii="宋体" w:hAnsi="宋体" w:cs="宋体"/>
          <w:color w:val="000000"/>
          <w:sz w:val="30"/>
          <w:szCs w:val="30"/>
          <w:highlight w:val="none"/>
        </w:rPr>
      </w:pPr>
      <w:r>
        <w:rPr>
          <w:rFonts w:hint="eastAsia" w:ascii="宋体" w:hAnsi="宋体" w:cs="宋体"/>
          <w:color w:val="000000"/>
          <w:sz w:val="30"/>
          <w:szCs w:val="30"/>
          <w:highlight w:val="none"/>
        </w:rPr>
        <w:br w:type="page"/>
      </w:r>
      <w:r>
        <w:rPr>
          <w:rFonts w:hint="eastAsia" w:ascii="宋体" w:hAnsi="宋体" w:cs="宋体"/>
          <w:color w:val="000000"/>
          <w:sz w:val="28"/>
          <w:szCs w:val="28"/>
          <w:highlight w:val="none"/>
        </w:rPr>
        <w:t>附</w:t>
      </w:r>
      <w:bookmarkStart w:id="136" w:name="_Toc296891269"/>
      <w:bookmarkStart w:id="137" w:name="_Toc296347228"/>
      <w:bookmarkStart w:id="138" w:name="_Toc296944568"/>
      <w:bookmarkStart w:id="139" w:name="_Toc296891057"/>
      <w:bookmarkStart w:id="140" w:name="_Toc296503229"/>
      <w:bookmarkStart w:id="141" w:name="_Toc296346730"/>
      <w:r>
        <w:rPr>
          <w:rFonts w:hint="eastAsia" w:ascii="宋体" w:hAnsi="宋体" w:cs="宋体"/>
          <w:color w:val="000000"/>
          <w:sz w:val="28"/>
          <w:szCs w:val="28"/>
          <w:highlight w:val="none"/>
        </w:rPr>
        <w:t>件7：</w:t>
      </w:r>
    </w:p>
    <w:bookmarkEnd w:id="136"/>
    <w:bookmarkEnd w:id="137"/>
    <w:bookmarkEnd w:id="138"/>
    <w:bookmarkEnd w:id="139"/>
    <w:bookmarkEnd w:id="140"/>
    <w:bookmarkEnd w:id="141"/>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分包人主要施工管理人员表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名称</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姓名</w:t>
            </w: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职务</w:t>
            </w: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职称</w:t>
            </w: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r>
              <w:rPr>
                <w:rFonts w:hint="eastAsia" w:ascii="宋体" w:hAnsi="宋体" w:cs="宋体"/>
                <w:color w:val="000000"/>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项目主管</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其他人员</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项目经理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项目副经理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技术负责人</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造价管理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质量管理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材料管理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计划管理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安全管理</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其他人员</w:t>
            </w: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vAlign w:val="center"/>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1134"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c>
          <w:tcPr>
            <w:tcW w:w="4252" w:type="dxa"/>
            <w:vAlign w:val="center"/>
          </w:tcPr>
          <w:p>
            <w:pPr>
              <w:keepNext/>
              <w:adjustRightInd w:val="0"/>
              <w:spacing w:line="440" w:lineRule="exact"/>
              <w:ind w:left="63" w:leftChars="30" w:right="63" w:rightChars="30"/>
              <w:jc w:val="center"/>
              <w:textAlignment w:val="baseline"/>
              <w:rPr>
                <w:rFonts w:ascii="宋体" w:hAnsi="宋体" w:cs="宋体"/>
                <w:color w:val="000000"/>
                <w:sz w:val="30"/>
                <w:szCs w:val="30"/>
                <w:highlight w:val="none"/>
              </w:rPr>
            </w:pPr>
          </w:p>
        </w:tc>
      </w:tr>
    </w:tbl>
    <w:p>
      <w:pPr>
        <w:spacing w:line="440" w:lineRule="exact"/>
        <w:rPr>
          <w:rFonts w:ascii="宋体" w:hAnsi="宋体" w:cs="宋体"/>
          <w:color w:val="000000"/>
          <w:sz w:val="30"/>
          <w:szCs w:val="30"/>
          <w:highlight w:val="none"/>
        </w:rPr>
      </w:pPr>
      <w:r>
        <w:rPr>
          <w:rFonts w:hint="eastAsia" w:ascii="宋体" w:hAnsi="宋体" w:cs="宋体"/>
          <w:color w:val="000000"/>
          <w:sz w:val="30"/>
          <w:szCs w:val="30"/>
          <w:highlight w:val="none"/>
        </w:rPr>
        <w:br w:type="page"/>
      </w:r>
      <w:bookmarkStart w:id="142" w:name="_Toc267261701"/>
      <w:r>
        <w:rPr>
          <w:rFonts w:hint="eastAsia" w:ascii="宋体" w:hAnsi="宋体" w:cs="宋体"/>
          <w:color w:val="000000"/>
          <w:sz w:val="28"/>
          <w:szCs w:val="28"/>
          <w:highlight w:val="none"/>
        </w:rPr>
        <w:t>附</w:t>
      </w:r>
      <w:bookmarkStart w:id="143" w:name="_Toc296944570"/>
      <w:bookmarkStart w:id="144" w:name="_Toc296346732"/>
      <w:bookmarkStart w:id="145" w:name="_Toc296347230"/>
      <w:bookmarkStart w:id="146" w:name="_Toc296503231"/>
      <w:bookmarkStart w:id="147" w:name="_Toc296891271"/>
      <w:bookmarkStart w:id="148" w:name="_Toc296891059"/>
      <w:r>
        <w:rPr>
          <w:rFonts w:hint="eastAsia" w:ascii="宋体" w:hAnsi="宋体" w:cs="宋体"/>
          <w:color w:val="000000"/>
          <w:sz w:val="28"/>
          <w:szCs w:val="28"/>
          <w:highlight w:val="none"/>
        </w:rPr>
        <w:t>件8：</w:t>
      </w:r>
    </w:p>
    <w:bookmarkEnd w:id="142"/>
    <w:bookmarkEnd w:id="143"/>
    <w:bookmarkEnd w:id="144"/>
    <w:bookmarkEnd w:id="145"/>
    <w:bookmarkEnd w:id="146"/>
    <w:bookmarkEnd w:id="147"/>
    <w:bookmarkEnd w:id="148"/>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8-1：材料暂估价表</w:t>
      </w:r>
    </w:p>
    <w:tbl>
      <w:tblPr>
        <w:tblStyle w:val="2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序号</w:t>
            </w:r>
          </w:p>
        </w:tc>
        <w:tc>
          <w:tcPr>
            <w:tcW w:w="1984"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名称</w:t>
            </w:r>
          </w:p>
        </w:tc>
        <w:tc>
          <w:tcPr>
            <w:tcW w:w="851"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单位</w:t>
            </w:r>
          </w:p>
        </w:tc>
        <w:tc>
          <w:tcPr>
            <w:tcW w:w="774"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数量</w:t>
            </w:r>
          </w:p>
        </w:tc>
        <w:tc>
          <w:tcPr>
            <w:tcW w:w="1352"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单价（元）</w:t>
            </w:r>
          </w:p>
        </w:tc>
        <w:tc>
          <w:tcPr>
            <w:tcW w:w="1418"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合价（元）</w:t>
            </w:r>
          </w:p>
        </w:tc>
        <w:tc>
          <w:tcPr>
            <w:tcW w:w="1701"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bl>
    <w:p>
      <w:pPr>
        <w:spacing w:before="156" w:beforeLines="50" w:after="156" w:afterLines="50" w:line="440" w:lineRule="exact"/>
        <w:rPr>
          <w:rFonts w:ascii="宋体" w:hAnsi="宋体" w:cs="宋体"/>
          <w:color w:val="000000"/>
          <w:sz w:val="30"/>
          <w:szCs w:val="30"/>
          <w:highlight w:val="none"/>
        </w:rPr>
      </w:pPr>
    </w:p>
    <w:p>
      <w:pPr>
        <w:spacing w:before="156" w:beforeLines="50" w:after="156" w:afterLines="50" w:line="440" w:lineRule="exact"/>
        <w:jc w:val="center"/>
        <w:rPr>
          <w:rFonts w:ascii="宋体" w:hAnsi="宋体" w:cs="宋体"/>
          <w:color w:val="000000"/>
          <w:sz w:val="30"/>
          <w:szCs w:val="30"/>
          <w:highlight w:val="none"/>
        </w:rPr>
      </w:pPr>
    </w:p>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t>8-2：工程设备暂估价表</w:t>
      </w:r>
    </w:p>
    <w:tbl>
      <w:tblPr>
        <w:tblStyle w:val="2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序号</w:t>
            </w:r>
          </w:p>
        </w:tc>
        <w:tc>
          <w:tcPr>
            <w:tcW w:w="1984"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名称</w:t>
            </w:r>
          </w:p>
        </w:tc>
        <w:tc>
          <w:tcPr>
            <w:tcW w:w="851"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单位</w:t>
            </w:r>
          </w:p>
        </w:tc>
        <w:tc>
          <w:tcPr>
            <w:tcW w:w="774"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数量</w:t>
            </w:r>
          </w:p>
        </w:tc>
        <w:tc>
          <w:tcPr>
            <w:tcW w:w="1352"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单价（元）</w:t>
            </w:r>
          </w:p>
        </w:tc>
        <w:tc>
          <w:tcPr>
            <w:tcW w:w="1418"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合价（元）</w:t>
            </w:r>
          </w:p>
        </w:tc>
        <w:tc>
          <w:tcPr>
            <w:tcW w:w="1701"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85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774"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352"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418"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c>
          <w:tcPr>
            <w:tcW w:w="1701" w:type="dxa"/>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p>
        </w:tc>
      </w:tr>
    </w:tbl>
    <w:p>
      <w:pPr>
        <w:spacing w:line="440" w:lineRule="exact"/>
        <w:rPr>
          <w:rFonts w:ascii="宋体" w:hAnsi="宋体" w:cs="宋体"/>
          <w:color w:val="000000"/>
          <w:sz w:val="30"/>
          <w:szCs w:val="30"/>
          <w:highlight w:val="none"/>
        </w:rPr>
      </w:pPr>
    </w:p>
    <w:p>
      <w:pPr>
        <w:spacing w:before="156" w:beforeLines="50" w:after="156" w:afterLines="50" w:line="44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rPr>
        <w:br w:type="page"/>
      </w:r>
      <w:r>
        <w:rPr>
          <w:rFonts w:hint="eastAsia" w:ascii="宋体" w:hAnsi="宋体" w:cs="宋体"/>
          <w:color w:val="000000"/>
          <w:sz w:val="30"/>
          <w:szCs w:val="30"/>
          <w:highlight w:val="none"/>
        </w:rPr>
        <w:t>8-3：专业工程暂估价表</w:t>
      </w:r>
    </w:p>
    <w:tbl>
      <w:tblPr>
        <w:tblStyle w:val="26"/>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序号</w:t>
            </w:r>
          </w:p>
        </w:tc>
        <w:tc>
          <w:tcPr>
            <w:tcW w:w="1984"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专业工程名称</w:t>
            </w:r>
          </w:p>
        </w:tc>
        <w:tc>
          <w:tcPr>
            <w:tcW w:w="4678"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工程内容</w:t>
            </w:r>
          </w:p>
        </w:tc>
        <w:tc>
          <w:tcPr>
            <w:tcW w:w="1276" w:type="dxa"/>
            <w:tcBorders>
              <w:top w:val="single" w:color="auto" w:sz="12" w:space="0"/>
              <w:bottom w:val="double" w:color="auto" w:sz="6" w:space="0"/>
            </w:tcBorders>
          </w:tcPr>
          <w:p>
            <w:pPr>
              <w:keepNext/>
              <w:adjustRightInd w:val="0"/>
              <w:spacing w:line="440" w:lineRule="exact"/>
              <w:ind w:left="63" w:leftChars="30" w:right="63" w:rightChars="30"/>
              <w:jc w:val="center"/>
              <w:textAlignment w:val="baseline"/>
              <w:rPr>
                <w:rFonts w:ascii="宋体" w:hAnsi="宋体" w:cs="宋体"/>
                <w:color w:val="000000"/>
                <w:sz w:val="28"/>
                <w:szCs w:val="30"/>
                <w:highlight w:val="none"/>
              </w:rPr>
            </w:pPr>
            <w:r>
              <w:rPr>
                <w:rFonts w:hint="eastAsia" w:ascii="宋体" w:hAnsi="宋体" w:cs="宋体"/>
                <w:color w:val="000000"/>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Borders>
              <w:top w:val="double" w:color="auto" w:sz="6" w:space="0"/>
              <w:bottom w:val="single" w:color="auto" w:sz="6" w:space="0"/>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Borders>
              <w:top w:val="nil"/>
            </w:tcBorders>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984"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4678"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c>
          <w:tcPr>
            <w:tcW w:w="1276" w:type="dxa"/>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adjustRightInd w:val="0"/>
              <w:spacing w:line="440" w:lineRule="exact"/>
              <w:ind w:left="63" w:leftChars="30" w:right="63" w:rightChars="30"/>
              <w:jc w:val="center"/>
              <w:textAlignment w:val="baseline"/>
              <w:rPr>
                <w:rFonts w:ascii="宋体" w:hAnsi="宋体" w:cs="宋体"/>
                <w:color w:val="000000"/>
                <w:szCs w:val="21"/>
                <w:highlight w:val="none"/>
              </w:rPr>
            </w:pPr>
            <w:r>
              <w:rPr>
                <w:rFonts w:hint="eastAsia" w:ascii="宋体" w:hAnsi="宋体" w:cs="宋体"/>
                <w:color w:val="000000"/>
                <w:sz w:val="28"/>
                <w:szCs w:val="30"/>
                <w:highlight w:val="none"/>
              </w:rPr>
              <w:t>小计：</w:t>
            </w:r>
          </w:p>
        </w:tc>
      </w:tr>
      <w:bookmarkEnd w:id="107"/>
    </w:tbl>
    <w:p>
      <w:pPr>
        <w:tabs>
          <w:tab w:val="left" w:pos="8190"/>
        </w:tabs>
        <w:spacing w:line="360" w:lineRule="auto"/>
        <w:jc w:val="center"/>
        <w:rPr>
          <w:rFonts w:ascii="宋体" w:hAnsi="宋体" w:cs="宋体"/>
          <w:b/>
          <w:bCs/>
          <w:sz w:val="28"/>
          <w:szCs w:val="28"/>
          <w:highlight w:val="none"/>
        </w:rPr>
        <w:sectPr>
          <w:pgSz w:w="11907" w:h="16839"/>
          <w:pgMar w:top="1440" w:right="1800" w:bottom="1440" w:left="1800" w:header="851" w:footer="992" w:gutter="0"/>
          <w:pgNumType w:chapStyle="1"/>
          <w:cols w:space="720" w:num="1"/>
          <w:docGrid w:type="lines" w:linePitch="312" w:charSpace="0"/>
        </w:sectPr>
      </w:pPr>
    </w:p>
    <w:p>
      <w:pPr>
        <w:tabs>
          <w:tab w:val="left" w:pos="8190"/>
        </w:tabs>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第五章   评标细则</w:t>
      </w:r>
    </w:p>
    <w:p>
      <w:pPr>
        <w:pStyle w:val="60"/>
        <w:spacing w:line="560" w:lineRule="exact"/>
        <w:jc w:val="both"/>
        <w:rPr>
          <w:sz w:val="23"/>
          <w:szCs w:val="23"/>
          <w:highlight w:val="none"/>
        </w:rPr>
      </w:pPr>
      <w:r>
        <w:rPr>
          <w:rFonts w:hint="eastAsia" w:ascii="Calibri" w:eastAsia="Calibri" w:cs="Times New Roman"/>
          <w:b/>
          <w:kern w:val="2"/>
          <w:sz w:val="21"/>
          <w:szCs w:val="21"/>
          <w:highlight w:val="none"/>
        </w:rPr>
        <w:t>一、评标办法</w:t>
      </w:r>
      <w:r>
        <w:rPr>
          <w:rFonts w:hint="eastAsia" w:eastAsia="Calibri"/>
          <w:b/>
          <w:sz w:val="21"/>
          <w:szCs w:val="21"/>
          <w:highlight w:val="none"/>
        </w:rPr>
        <w:t>：</w:t>
      </w:r>
      <w:r>
        <w:rPr>
          <w:rFonts w:hint="eastAsia" w:ascii="Calibri" w:eastAsia="Calibri" w:cs="Times New Roman"/>
          <w:b/>
          <w:kern w:val="2"/>
          <w:sz w:val="21"/>
          <w:szCs w:val="21"/>
          <w:highlight w:val="none"/>
        </w:rPr>
        <w:t>（</w:t>
      </w:r>
      <w:r>
        <w:rPr>
          <w:rFonts w:hint="eastAsia" w:ascii="Calibri" w:eastAsia="Calibri" w:cs="Times New Roman"/>
          <w:b/>
          <w:kern w:val="2"/>
          <w:sz w:val="21"/>
          <w:szCs w:val="21"/>
          <w:highlight w:val="none"/>
          <w:lang w:val="zh-CN"/>
        </w:rPr>
        <w:t>最低评标价法</w:t>
      </w:r>
      <w:r>
        <w:rPr>
          <w:rFonts w:hint="eastAsia" w:ascii="Calibri" w:eastAsia="Calibri" w:cs="Times New Roman"/>
          <w:b/>
          <w:kern w:val="2"/>
          <w:sz w:val="21"/>
          <w:szCs w:val="21"/>
          <w:highlight w:val="none"/>
        </w:rPr>
        <w:t>）</w:t>
      </w:r>
    </w:p>
    <w:p>
      <w:pPr>
        <w:spacing w:line="560" w:lineRule="exact"/>
        <w:ind w:firstLine="420"/>
        <w:rPr>
          <w:rFonts w:ascii="宋体" w:hAnsi="宋体" w:cs="宋体"/>
          <w:color w:val="0D0D0D"/>
          <w:szCs w:val="22"/>
          <w:highlight w:val="none"/>
        </w:rPr>
      </w:pPr>
      <w:r>
        <w:rPr>
          <w:rFonts w:hint="eastAsia" w:ascii="宋体" w:hAnsi="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pPr>
        <w:spacing w:line="560" w:lineRule="exact"/>
        <w:ind w:firstLine="420"/>
        <w:rPr>
          <w:rFonts w:ascii="宋体" w:hAnsi="宋体" w:cs="宋体"/>
          <w:color w:val="0D0D0D"/>
          <w:szCs w:val="22"/>
          <w:highlight w:val="none"/>
        </w:rPr>
      </w:pPr>
      <w:r>
        <w:rPr>
          <w:rFonts w:hint="eastAsia" w:ascii="宋体" w:hAnsi="宋体" w:cs="宋体"/>
          <w:color w:val="0D0D0D"/>
          <w:szCs w:val="22"/>
          <w:highlight w:val="none"/>
        </w:rPr>
        <w:t>2、报价货币为人民币，谈判时以人民币为准。</w:t>
      </w:r>
    </w:p>
    <w:p>
      <w:pPr>
        <w:spacing w:line="560" w:lineRule="exact"/>
        <w:ind w:firstLine="420"/>
        <w:rPr>
          <w:rFonts w:ascii="宋体" w:hAnsi="宋体" w:cs="宋体"/>
          <w:color w:val="0D0D0D"/>
          <w:szCs w:val="22"/>
          <w:highlight w:val="none"/>
        </w:rPr>
      </w:pPr>
      <w:r>
        <w:rPr>
          <w:rFonts w:hint="eastAsia" w:ascii="宋体" w:hAnsi="宋体" w:cs="宋体"/>
          <w:b/>
          <w:bCs/>
          <w:color w:val="0D0D0D"/>
          <w:szCs w:val="22"/>
          <w:highlight w:val="none"/>
        </w:rPr>
        <w:t>3、</w:t>
      </w:r>
      <w:r>
        <w:rPr>
          <w:rFonts w:hint="eastAsia" w:ascii="宋体" w:hAnsi="宋体" w:cs="宋体"/>
          <w:b/>
          <w:color w:val="0D0D0D"/>
          <w:szCs w:val="22"/>
          <w:highlight w:val="none"/>
        </w:rPr>
        <w:t>本项目的项目预算/最高限价为</w:t>
      </w:r>
      <w:r>
        <w:rPr>
          <w:rFonts w:hint="eastAsia" w:ascii="宋体" w:hAnsi="宋体" w:cs="宋体"/>
          <w:b/>
          <w:color w:val="0D0D0D"/>
          <w:szCs w:val="22"/>
          <w:highlight w:val="none"/>
          <w:u w:val="single"/>
        </w:rPr>
        <w:t>人民币贰拾肆万伍仟零壹拾玖元叁角肆分（¥245,019.34）</w:t>
      </w:r>
      <w:r>
        <w:rPr>
          <w:rFonts w:hint="eastAsia" w:ascii="宋体" w:hAnsi="宋体" w:cs="宋体"/>
          <w:szCs w:val="22"/>
          <w:highlight w:val="none"/>
        </w:rPr>
        <w:t>，</w:t>
      </w:r>
      <w:r>
        <w:rPr>
          <w:rFonts w:hint="eastAsia" w:ascii="宋体" w:hAnsi="宋体" w:cs="宋体"/>
          <w:b/>
          <w:szCs w:val="21"/>
          <w:highlight w:val="none"/>
        </w:rPr>
        <w:t>供应商的谈判总价不得高于最高限价、谈判报价中各项清单单价不得高于控制价清单单价</w:t>
      </w:r>
      <w:r>
        <w:rPr>
          <w:rFonts w:hint="eastAsia" w:ascii="宋体" w:hAnsi="宋体" w:cs="宋体"/>
          <w:szCs w:val="22"/>
          <w:highlight w:val="none"/>
        </w:rPr>
        <w:t>，</w:t>
      </w:r>
      <w:r>
        <w:rPr>
          <w:rFonts w:hint="eastAsia" w:ascii="宋体" w:hAnsi="宋体" w:cs="宋体"/>
          <w:color w:val="0D0D0D"/>
          <w:szCs w:val="22"/>
          <w:highlight w:val="none"/>
        </w:rPr>
        <w:t>否则作为无效响应。</w:t>
      </w:r>
    </w:p>
    <w:p>
      <w:pPr>
        <w:spacing w:line="560" w:lineRule="exact"/>
        <w:ind w:firstLine="420"/>
        <w:rPr>
          <w:rFonts w:ascii="宋体" w:hAnsi="宋体" w:cs="宋体"/>
          <w:color w:val="0D0D0D"/>
          <w:szCs w:val="22"/>
          <w:highlight w:val="none"/>
        </w:rPr>
      </w:pPr>
      <w:r>
        <w:rPr>
          <w:rFonts w:hint="eastAsia" w:ascii="宋体" w:hAnsi="宋体" w:cs="宋体"/>
          <w:color w:val="0D0D0D"/>
          <w:szCs w:val="22"/>
          <w:highlight w:val="none"/>
        </w:rPr>
        <w:t>4、报价次数：本项目采用二次及以上报价，开标现场的最终报价作为供应商参加此次谈判的最终报价。综合单价以二次报价下浮后的单价作为合同附件。</w:t>
      </w:r>
    </w:p>
    <w:p>
      <w:pPr>
        <w:adjustRightInd w:val="0"/>
        <w:snapToGrid w:val="0"/>
        <w:spacing w:line="560" w:lineRule="exact"/>
        <w:ind w:firstLine="420" w:firstLineChars="200"/>
        <w:rPr>
          <w:rFonts w:ascii="宋体" w:hAnsi="宋体"/>
          <w:snapToGrid w:val="0"/>
          <w:color w:val="000000"/>
          <w:szCs w:val="24"/>
          <w:highlight w:val="none"/>
        </w:rPr>
      </w:pPr>
      <w:r>
        <w:rPr>
          <w:rFonts w:hint="eastAsia" w:ascii="宋体" w:hAnsi="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pPr>
        <w:spacing w:line="560" w:lineRule="exact"/>
        <w:rPr>
          <w:highlight w:val="none"/>
        </w:rPr>
      </w:pPr>
      <w:r>
        <w:rPr>
          <w:rFonts w:hint="eastAsia" w:ascii="宋体" w:hAnsi="宋体"/>
          <w:b/>
          <w:snapToGrid w:val="0"/>
          <w:color w:val="000000"/>
          <w:szCs w:val="24"/>
          <w:highlight w:val="none"/>
        </w:rPr>
        <w:t>二、定标办法：经评标委员会确定报价最低的供应商为成交供应商。最后报价相同时，则由采购人抽签确定成交供应商。</w:t>
      </w:r>
    </w:p>
    <w:p>
      <w:pPr>
        <w:jc w:val="center"/>
        <w:rPr>
          <w:rFonts w:ascii="宋体" w:hAnsi="宋体" w:cs="宋体"/>
          <w:b/>
          <w:sz w:val="30"/>
          <w:szCs w:val="30"/>
          <w:highlight w:val="none"/>
        </w:rPr>
        <w:sectPr>
          <w:pgSz w:w="11907" w:h="16839"/>
          <w:pgMar w:top="1440" w:right="1800" w:bottom="1440" w:left="1800" w:header="851" w:footer="992" w:gutter="0"/>
          <w:pgNumType w:chapStyle="1"/>
          <w:cols w:space="720" w:num="1"/>
          <w:docGrid w:type="lines" w:linePitch="312" w:charSpace="0"/>
        </w:sectPr>
      </w:pPr>
    </w:p>
    <w:p>
      <w:pPr>
        <w:jc w:val="center"/>
        <w:rPr>
          <w:rFonts w:ascii="宋体" w:hAnsi="宋体" w:cs="宋体"/>
          <w:b/>
          <w:sz w:val="30"/>
          <w:szCs w:val="30"/>
          <w:highlight w:val="none"/>
        </w:rPr>
      </w:pPr>
      <w:r>
        <w:rPr>
          <w:rFonts w:hint="eastAsia" w:ascii="宋体" w:hAnsi="宋体" w:cs="宋体"/>
          <w:b/>
          <w:sz w:val="30"/>
          <w:szCs w:val="30"/>
          <w:highlight w:val="none"/>
        </w:rPr>
        <w:t>第六章  附    件</w:t>
      </w:r>
      <w:bookmarkEnd w:id="6"/>
    </w:p>
    <w:p>
      <w:pPr>
        <w:pStyle w:val="59"/>
        <w:spacing w:line="360" w:lineRule="exact"/>
        <w:rPr>
          <w:rFonts w:eastAsia="宋体" w:cs="宋体"/>
          <w:b/>
          <w:sz w:val="32"/>
          <w:highlight w:val="none"/>
        </w:rPr>
      </w:pPr>
      <w:bookmarkStart w:id="149" w:name="_Toc8620"/>
      <w:r>
        <w:rPr>
          <w:rFonts w:hint="eastAsia" w:eastAsia="宋体" w:cs="宋体"/>
          <w:b/>
          <w:sz w:val="28"/>
          <w:szCs w:val="28"/>
          <w:highlight w:val="none"/>
        </w:rPr>
        <w:t>附件1：响应函</w:t>
      </w:r>
      <w:bookmarkEnd w:id="149"/>
    </w:p>
    <w:p>
      <w:pPr>
        <w:pStyle w:val="69"/>
        <w:spacing w:line="360" w:lineRule="exact"/>
        <w:jc w:val="center"/>
        <w:rPr>
          <w:rFonts w:cs="宋体"/>
          <w:sz w:val="21"/>
          <w:szCs w:val="21"/>
          <w:highlight w:val="none"/>
          <w:u w:val="single"/>
        </w:rPr>
      </w:pPr>
      <w:r>
        <w:rPr>
          <w:rFonts w:hint="eastAsia" w:cs="宋体"/>
          <w:b/>
          <w:sz w:val="28"/>
          <w:szCs w:val="28"/>
          <w:highlight w:val="none"/>
        </w:rPr>
        <w:t>响  应  函</w:t>
      </w:r>
    </w:p>
    <w:p>
      <w:pPr>
        <w:pStyle w:val="68"/>
        <w:spacing w:line="440" w:lineRule="atLeast"/>
        <w:ind w:firstLine="422" w:firstLineChars="200"/>
        <w:rPr>
          <w:rFonts w:eastAsia="宋体" w:cs="宋体"/>
          <w:b/>
          <w:bCs/>
          <w:sz w:val="21"/>
          <w:szCs w:val="21"/>
          <w:highlight w:val="none"/>
        </w:rPr>
      </w:pPr>
      <w:r>
        <w:rPr>
          <w:rFonts w:hint="eastAsia" w:eastAsia="宋体" w:cs="宋体"/>
          <w:b/>
          <w:bCs/>
          <w:sz w:val="21"/>
          <w:szCs w:val="21"/>
          <w:highlight w:val="none"/>
        </w:rPr>
        <w:t>致：</w:t>
      </w:r>
      <w:r>
        <w:rPr>
          <w:rFonts w:hint="eastAsia" w:eastAsia="宋体" w:cs="宋体"/>
          <w:b/>
          <w:bCs/>
          <w:color w:val="000000"/>
          <w:sz w:val="21"/>
          <w:szCs w:val="21"/>
          <w:highlight w:val="none"/>
          <w:u w:val="single"/>
        </w:rPr>
        <w:t>采购人、常州青枫招标有限公司</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我单位收到贵单位“</w:t>
      </w:r>
      <w:r>
        <w:rPr>
          <w:rFonts w:hint="eastAsia" w:eastAsia="宋体" w:cs="宋体"/>
          <w:sz w:val="21"/>
          <w:szCs w:val="21"/>
          <w:highlight w:val="none"/>
          <w:u w:val="single"/>
        </w:rPr>
        <w:t>青枫采竞-</w:t>
      </w:r>
      <w:r>
        <w:rPr>
          <w:rFonts w:hint="eastAsia" w:eastAsia="宋体" w:cs="宋体"/>
          <w:sz w:val="21"/>
          <w:szCs w:val="21"/>
          <w:highlight w:val="none"/>
          <w:u w:val="single"/>
          <w:lang w:eastAsia="zh-CN"/>
        </w:rPr>
        <w:t>2024009</w:t>
      </w:r>
      <w:r>
        <w:rPr>
          <w:rFonts w:hint="eastAsia" w:eastAsia="宋体" w:cs="宋体"/>
          <w:sz w:val="21"/>
          <w:szCs w:val="21"/>
          <w:highlight w:val="none"/>
        </w:rPr>
        <w:t>”谈判文件后，经仔细阅读和研究，我们决定参加本项目的谈判活动并投标。为此，我方郑重声明以下诸点，并负法律责任。</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1.我单位愿意遵守贵单位有关采购的各项规定，提供谈判文件中要求的所有资料，并保证完全真实准确，若有虚假和违背，我单位愿意承担由此而产生的一切后果。</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2.我单位承诺财务状况良好，依法缴纳税收和社会保障资金，具备履行合同所必需的设备和专业技术能力，参加采购活动前3年内在经营活动中没有重大违法记录。</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3.我单位承诺该谈判响应文件在谈判开始后的全过程中保持有效，不作任何更改和变动。并同意按谈判文件中的规定，本谈判响应文件的有效期限为谈判开始后</w:t>
      </w:r>
      <w:r>
        <w:rPr>
          <w:rFonts w:hint="eastAsia" w:eastAsia="宋体" w:cs="宋体"/>
          <w:sz w:val="21"/>
          <w:szCs w:val="21"/>
          <w:highlight w:val="none"/>
          <w:u w:val="single"/>
        </w:rPr>
        <w:t>60</w:t>
      </w:r>
      <w:r>
        <w:rPr>
          <w:rFonts w:hint="eastAsia" w:eastAsia="宋体" w:cs="宋体"/>
          <w:sz w:val="21"/>
          <w:szCs w:val="21"/>
          <w:highlight w:val="none"/>
        </w:rPr>
        <w:t>天。</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4.我单位愿意按谈判文件规定的各项要求，向采购人提供所需工程。谈判报价包括但不限于谈判文件及其基本技术要求范围内相应工程开工前的准备（包括现场踏勘、技术核对等）、技术资料、施工、技术服务、主管单位验收、质保期及维保服务和谈判文件所要求的相关工程等全部费用。</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5.我单位认为贵单位有权决定成交供应商，还认为贵单位有权接受或拒绝所有的供应商。</w:t>
      </w:r>
    </w:p>
    <w:p>
      <w:pPr>
        <w:pStyle w:val="68"/>
        <w:spacing w:line="440" w:lineRule="atLeast"/>
        <w:ind w:firstLine="420"/>
        <w:jc w:val="left"/>
        <w:rPr>
          <w:rFonts w:eastAsia="宋体" w:cs="宋体"/>
          <w:sz w:val="21"/>
          <w:szCs w:val="21"/>
          <w:highlight w:val="none"/>
        </w:rPr>
      </w:pPr>
      <w:r>
        <w:rPr>
          <w:rFonts w:hint="eastAsia" w:eastAsia="宋体" w:cs="宋体"/>
          <w:sz w:val="21"/>
          <w:szCs w:val="21"/>
          <w:highlight w:val="none"/>
        </w:rPr>
        <w:t>6.我单位愿意遵守谈判文件中所列的收费标准，按谈判文件的规定，若我单位成交，我单位愿意在签订合同前按谈判文件的规定支付成交服务费。</w:t>
      </w:r>
    </w:p>
    <w:p>
      <w:pPr>
        <w:spacing w:line="440" w:lineRule="atLeast"/>
        <w:ind w:firstLine="420" w:firstLineChars="200"/>
        <w:rPr>
          <w:rFonts w:ascii="宋体" w:hAnsi="宋体" w:cs="宋体"/>
          <w:color w:val="000000"/>
          <w:highlight w:val="none"/>
        </w:rPr>
      </w:pPr>
      <w:r>
        <w:rPr>
          <w:rFonts w:hint="eastAsia" w:ascii="宋体" w:hAnsi="宋体" w:cs="宋体"/>
          <w:szCs w:val="21"/>
          <w:highlight w:val="none"/>
        </w:rPr>
        <w:t>7.如果我单位的谈判响应文件被接受，愿按《中华人民共和国民法典》履行自己的全部责任，同时严格履行谈判文件中规定的每</w:t>
      </w:r>
      <w:r>
        <w:rPr>
          <w:rFonts w:hint="eastAsia" w:cs="宋体"/>
          <w:szCs w:val="21"/>
          <w:highlight w:val="none"/>
        </w:rPr>
        <w:t>一项要求，按期、按质、按量履行合同的义务。</w:t>
      </w:r>
    </w:p>
    <w:p>
      <w:pPr>
        <w:spacing w:line="440" w:lineRule="atLeast"/>
        <w:ind w:firstLine="420" w:firstLineChars="200"/>
        <w:rPr>
          <w:rFonts w:ascii="宋体" w:hAnsi="宋体" w:cs="宋体"/>
          <w:szCs w:val="21"/>
          <w:highlight w:val="none"/>
        </w:rPr>
      </w:pPr>
      <w:r>
        <w:rPr>
          <w:rFonts w:hint="eastAsia" w:ascii="宋体" w:hAnsi="宋体" w:cs="宋体"/>
          <w:color w:val="000000"/>
          <w:highlight w:val="none"/>
        </w:rPr>
        <w:t>8.与本投标有关的正式通讯地址为：</w:t>
      </w:r>
    </w:p>
    <w:p>
      <w:pPr>
        <w:spacing w:line="440" w:lineRule="atLeast"/>
        <w:ind w:firstLine="420" w:firstLineChars="200"/>
        <w:rPr>
          <w:rFonts w:ascii="宋体" w:hAnsi="宋体" w:cs="宋体"/>
          <w:szCs w:val="21"/>
          <w:highlight w:val="none"/>
        </w:rPr>
      </w:pPr>
    </w:p>
    <w:p>
      <w:pPr>
        <w:spacing w:line="440" w:lineRule="atLeast"/>
        <w:ind w:firstLine="420" w:firstLineChars="200"/>
        <w:rPr>
          <w:rFonts w:ascii="宋体" w:hAnsi="宋体" w:cs="宋体"/>
          <w:szCs w:val="21"/>
          <w:highlight w:val="none"/>
        </w:rPr>
      </w:pPr>
      <w:r>
        <w:rPr>
          <w:rFonts w:hint="eastAsia" w:ascii="宋体" w:hAnsi="宋体" w:cs="宋体"/>
          <w:szCs w:val="21"/>
          <w:highlight w:val="none"/>
        </w:rPr>
        <w:t>供应商（盖章）：</w:t>
      </w:r>
    </w:p>
    <w:p>
      <w:pPr>
        <w:spacing w:line="440" w:lineRule="atLeast"/>
        <w:ind w:firstLine="420" w:firstLineChars="200"/>
        <w:rPr>
          <w:rFonts w:ascii="宋体" w:hAnsi="宋体" w:cs="宋体"/>
          <w:szCs w:val="21"/>
          <w:highlight w:val="none"/>
        </w:rPr>
      </w:pPr>
      <w:r>
        <w:rPr>
          <w:rFonts w:hint="eastAsia" w:ascii="宋体" w:hAnsi="宋体" w:cs="宋体"/>
          <w:szCs w:val="21"/>
          <w:highlight w:val="none"/>
        </w:rPr>
        <w:t>法定代表人或代理人（签字或盖章）：</w:t>
      </w:r>
    </w:p>
    <w:p>
      <w:pPr>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地   址：                  </w:t>
      </w:r>
    </w:p>
    <w:p>
      <w:pPr>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电   话：                                  </w:t>
      </w:r>
    </w:p>
    <w:p>
      <w:pPr>
        <w:spacing w:line="440" w:lineRule="atLeast"/>
        <w:ind w:firstLine="420" w:firstLineChars="200"/>
        <w:rPr>
          <w:rFonts w:ascii="宋体" w:hAnsi="宋体" w:cs="宋体"/>
          <w:b/>
          <w:sz w:val="28"/>
          <w:szCs w:val="28"/>
          <w:highlight w:val="none"/>
        </w:rPr>
      </w:pPr>
      <w:r>
        <w:rPr>
          <w:rFonts w:hint="eastAsia" w:ascii="宋体" w:hAnsi="宋体" w:cs="宋体"/>
          <w:szCs w:val="21"/>
          <w:highlight w:val="none"/>
        </w:rPr>
        <w:t>日    期：     年    月    日</w:t>
      </w:r>
      <w:bookmarkStart w:id="150" w:name="_Toc18201"/>
    </w:p>
    <w:p>
      <w:pPr>
        <w:pStyle w:val="59"/>
        <w:spacing w:line="360" w:lineRule="exact"/>
        <w:rPr>
          <w:rFonts w:eastAsia="宋体" w:cs="宋体"/>
          <w:b/>
          <w:sz w:val="28"/>
          <w:szCs w:val="28"/>
          <w:highlight w:val="none"/>
        </w:rPr>
        <w:sectPr>
          <w:pgSz w:w="11907" w:h="16839"/>
          <w:pgMar w:top="1440" w:right="1800" w:bottom="1440" w:left="1800" w:header="851" w:footer="992" w:gutter="0"/>
          <w:pgNumType w:chapStyle="1"/>
          <w:cols w:space="720" w:num="1"/>
          <w:docGrid w:type="lines" w:linePitch="312" w:charSpace="0"/>
        </w:sectPr>
      </w:pPr>
    </w:p>
    <w:p>
      <w:pPr>
        <w:pStyle w:val="59"/>
        <w:spacing w:line="360" w:lineRule="exact"/>
        <w:rPr>
          <w:rFonts w:eastAsia="宋体" w:cs="宋体"/>
          <w:b/>
          <w:sz w:val="28"/>
          <w:szCs w:val="28"/>
          <w:highlight w:val="none"/>
        </w:rPr>
      </w:pPr>
      <w:r>
        <w:rPr>
          <w:rFonts w:hint="eastAsia" w:eastAsia="宋体" w:cs="宋体"/>
          <w:b/>
          <w:sz w:val="28"/>
          <w:szCs w:val="28"/>
          <w:highlight w:val="none"/>
        </w:rPr>
        <w:t>附件2：法定代表人资格证明书</w:t>
      </w:r>
    </w:p>
    <w:p>
      <w:pPr>
        <w:rPr>
          <w:rFonts w:ascii="宋体" w:hAnsi="宋体" w:cs="宋体"/>
          <w:highlight w:val="none"/>
        </w:rPr>
      </w:pPr>
    </w:p>
    <w:p>
      <w:pPr>
        <w:spacing w:line="360" w:lineRule="auto"/>
        <w:jc w:val="center"/>
        <w:rPr>
          <w:rFonts w:ascii="宋体" w:hAnsi="宋体" w:cs="宋体"/>
          <w:b/>
          <w:sz w:val="32"/>
          <w:szCs w:val="32"/>
          <w:highlight w:val="none"/>
        </w:rPr>
      </w:pPr>
      <w:bookmarkStart w:id="151" w:name="_Toc18209_WPSOffice_Level1"/>
      <w:r>
        <w:rPr>
          <w:rFonts w:hint="eastAsia" w:ascii="宋体" w:hAnsi="宋体" w:cs="宋体"/>
          <w:b/>
          <w:sz w:val="28"/>
          <w:szCs w:val="28"/>
          <w:highlight w:val="none"/>
        </w:rPr>
        <w:t>法定代表人资格证明书</w:t>
      </w:r>
      <w:bookmarkEnd w:id="151"/>
    </w:p>
    <w:tbl>
      <w:tblPr>
        <w:tblStyle w:val="26"/>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单位名称</w:t>
            </w:r>
          </w:p>
        </w:tc>
        <w:tc>
          <w:tcPr>
            <w:tcW w:w="6439" w:type="dxa"/>
            <w:gridSpan w:val="3"/>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6439" w:type="dxa"/>
            <w:gridSpan w:val="3"/>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法定代表人姓名</w:t>
            </w:r>
          </w:p>
        </w:tc>
        <w:tc>
          <w:tcPr>
            <w:tcW w:w="1765" w:type="dxa"/>
            <w:vAlign w:val="center"/>
          </w:tcPr>
          <w:p>
            <w:pPr>
              <w:spacing w:line="360" w:lineRule="auto"/>
              <w:jc w:val="center"/>
              <w:rPr>
                <w:rFonts w:ascii="宋体" w:hAnsi="宋体" w:cs="宋体"/>
                <w:szCs w:val="21"/>
                <w:highlight w:val="none"/>
              </w:rPr>
            </w:pPr>
          </w:p>
        </w:tc>
        <w:tc>
          <w:tcPr>
            <w:tcW w:w="118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身份证号</w:t>
            </w:r>
          </w:p>
        </w:tc>
        <w:tc>
          <w:tcPr>
            <w:tcW w:w="3485" w:type="dxa"/>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pP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（法定代表人姓名）</w:t>
            </w:r>
            <w:r>
              <w:rPr>
                <w:rFonts w:hint="eastAsia" w:ascii="宋体" w:hAnsi="宋体" w:cs="宋体"/>
                <w:szCs w:val="21"/>
                <w:highlight w:val="none"/>
              </w:rPr>
              <w:t>系</w:t>
            </w:r>
            <w:r>
              <w:rPr>
                <w:rFonts w:hint="eastAsia" w:ascii="宋体" w:hAnsi="宋体" w:cs="宋体"/>
                <w:szCs w:val="21"/>
                <w:highlight w:val="none"/>
                <w:u w:val="single"/>
              </w:rPr>
              <w:t xml:space="preserve">  （单位名称）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项目（编号：      ）</w:t>
            </w:r>
            <w:r>
              <w:rPr>
                <w:rFonts w:hint="eastAsia" w:ascii="宋体" w:hAnsi="宋体" w:cs="宋体"/>
                <w:szCs w:val="21"/>
                <w:highlight w:val="none"/>
              </w:rPr>
              <w:t>的工作，签署本项目的响应文件、进行合同谈判、签署合同和处理与之有关的一切事务。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特此证明。</w:t>
            </w:r>
          </w:p>
        </w:tc>
      </w:tr>
    </w:tbl>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供应商（盖章）：</w:t>
      </w:r>
    </w:p>
    <w:p>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r>
        <w:rPr>
          <w:rFonts w:hint="eastAsia" w:ascii="宋体" w:hAnsi="宋体" w:cs="宋体"/>
          <w:szCs w:val="21"/>
          <w:highlight w:val="none"/>
        </w:rPr>
        <w:t>法定代表人身份证复印件：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ascii="宋体" w:hAnsi="宋体" w:cs="宋体"/>
          <w:szCs w:val="21"/>
          <w:highlight w:val="none"/>
        </w:rPr>
      </w:pPr>
      <w:r>
        <w:rPr>
          <w:rFonts w:ascii="宋体" w:hAnsi="宋体" w:cs="宋体"/>
          <w:sz w:val="24"/>
          <w:highlight w:val="none"/>
        </w:rPr>
        <mc:AlternateContent>
          <mc:Choice Requires="wps">
            <w:drawing>
              <wp:anchor distT="0" distB="0" distL="114300" distR="114300" simplePos="0" relativeHeight="251665408" behindDoc="0" locked="0" layoutInCell="1" allowOverlap="1">
                <wp:simplePos x="0" y="0"/>
                <wp:positionH relativeFrom="column">
                  <wp:posOffset>2371725</wp:posOffset>
                </wp:positionH>
                <wp:positionV relativeFrom="paragraph">
                  <wp:posOffset>257175</wp:posOffset>
                </wp:positionV>
                <wp:extent cx="596265" cy="977265"/>
                <wp:effectExtent l="0" t="0" r="3810" b="0"/>
                <wp:wrapNone/>
                <wp:docPr id="1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596265" cy="977265"/>
                        </a:xfrm>
                        <a:prstGeom prst="rect">
                          <a:avLst/>
                        </a:prstGeom>
                        <a:gradFill rotWithShape="0">
                          <a:gsLst>
                            <a:gs pos="0">
                              <a:srgbClr val="FFFFFF"/>
                            </a:gs>
                            <a:gs pos="100000">
                              <a:srgbClr val="FFFFFF"/>
                            </a:gs>
                          </a:gsLst>
                          <a:lin ang="0"/>
                        </a:gradFill>
                        <a:ln>
                          <a:noFill/>
                        </a:ln>
                      </wps:spPr>
                      <wps:txbx>
                        <w:txbxContent>
                          <w:p>
                            <w:pPr>
                              <w:rPr>
                                <w:color w:val="FF0000"/>
                                <w:sz w:val="28"/>
                                <w:szCs w:val="28"/>
                              </w:rPr>
                            </w:pPr>
                            <w:r>
                              <w:rPr>
                                <w:rFonts w:hint="eastAsia"/>
                                <w:color w:val="FF0000"/>
                                <w:sz w:val="28"/>
                                <w:szCs w:val="28"/>
                              </w:rPr>
                              <w:t>骑缝公章</w:t>
                            </w:r>
                          </w:p>
                        </w:txbxContent>
                      </wps:txbx>
                      <wps:bodyPr rot="0" vert="eaVert" wrap="square" lIns="91440" tIns="45720" rIns="91440" bIns="45720" anchor="t" anchorCtr="0" upright="1">
                        <a:noAutofit/>
                      </wps:bodyPr>
                    </wps:wsp>
                  </a:graphicData>
                </a:graphic>
              </wp:anchor>
            </w:drawing>
          </mc:Choice>
          <mc:Fallback>
            <w:pict>
              <v:shape id="Text Box 18" o:spid="_x0000_s1026" o:spt="202" type="#_x0000_t202" style="position:absolute;left:0pt;margin-left:186.75pt;margin-top:20.25pt;height:76.95pt;width:46.95pt;z-index:251665408;mso-width-relative:page;mso-height-relative:page;" fillcolor="#FFFFFF" filled="t" stroked="f" coordsize="21600,21600" o:gfxdata="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I6FSPYAAAACgEAAA8AAAAAAAAAAQAg&#10;AAAAIgAAAGRycy9kb3ducmV2LnhtbFBLAQIUABQAAAAIAIdO4kAL/YRKRwIAALoEAAAOAAAAAAAA&#10;AAEAIAAAACcBAABkcnMvZTJvRG9jLnhtbFBLBQYAAAAABgAGAFkBAADgBQAAAAA=&#10;">
                <v:fill type="gradient" on="t" color2="#FFFFFF" angle="90" focus="100%" focussize="0,0">
                  <o:fill type="gradientUnscaled" v:ext="backwardCompatible"/>
                </v:fill>
                <v:stroke on="f"/>
                <v:imagedata o:title=""/>
                <o:lock v:ext="edit" aspectratio="f"/>
                <v:textbox style="layout-flow:vertical-ideographic;">
                  <w:txbxContent>
                    <w:p>
                      <w:pPr>
                        <w:rPr>
                          <w:color w:val="FF0000"/>
                          <w:sz w:val="28"/>
                          <w:szCs w:val="28"/>
                        </w:rPr>
                      </w:pPr>
                      <w:r>
                        <w:rPr>
                          <w:rFonts w:hint="eastAsia"/>
                          <w:color w:val="FF0000"/>
                          <w:sz w:val="28"/>
                          <w:szCs w:val="28"/>
                        </w:rPr>
                        <w:t>骑缝公章</w:t>
                      </w:r>
                    </w:p>
                  </w:txbxContent>
                </v:textbox>
              </v:shape>
            </w:pict>
          </mc:Fallback>
        </mc:AlternateContent>
      </w:r>
      <w:r>
        <w:rPr>
          <w:rFonts w:ascii="宋体" w:hAnsi="宋体" w:cs="宋体"/>
          <w:sz w:val="24"/>
          <w:highlight w:val="none"/>
        </w:rPr>
        <mc:AlternateContent>
          <mc:Choice Requires="wps">
            <w:drawing>
              <wp:anchor distT="0" distB="0" distL="114300" distR="114300" simplePos="0" relativeHeight="251664384" behindDoc="0" locked="0" layoutInCell="1" hidden="1" allowOverlap="1">
                <wp:simplePos x="0" y="0"/>
                <wp:positionH relativeFrom="column">
                  <wp:posOffset>2367280</wp:posOffset>
                </wp:positionH>
                <wp:positionV relativeFrom="paragraph">
                  <wp:posOffset>278765</wp:posOffset>
                </wp:positionV>
                <wp:extent cx="596265" cy="977265"/>
                <wp:effectExtent l="0" t="2540" r="0" b="1270"/>
                <wp:wrapNone/>
                <wp:docPr id="10" name="Text Box 19" hidden="1"/>
                <wp:cNvGraphicFramePr/>
                <a:graphic xmlns:a="http://schemas.openxmlformats.org/drawingml/2006/main">
                  <a:graphicData uri="http://schemas.microsoft.com/office/word/2010/wordprocessingShape">
                    <wps:wsp>
                      <wps:cNvSpPr txBox="1">
                        <a:spLocks noChangeArrowheads="1"/>
                      </wps:cNvSpPr>
                      <wps:spPr bwMode="auto">
                        <a:xfrm>
                          <a:off x="0" y="0"/>
                          <a:ext cx="596265" cy="977265"/>
                        </a:xfrm>
                        <a:prstGeom prst="rect">
                          <a:avLst/>
                        </a:prstGeom>
                        <a:gradFill rotWithShape="0">
                          <a:gsLst>
                            <a:gs pos="0">
                              <a:srgbClr val="FFFFFF"/>
                            </a:gs>
                            <a:gs pos="100000">
                              <a:srgbClr val="FFFFFF"/>
                            </a:gs>
                          </a:gsLst>
                          <a:lin ang="0"/>
                        </a:gradFill>
                        <a:ln>
                          <a:noFill/>
                        </a:ln>
                      </wps:spPr>
                      <wps:txbx>
                        <w:txbxContent>
                          <w:p>
                            <w:pPr>
                              <w:rPr>
                                <w:color w:val="FF0000"/>
                                <w:sz w:val="28"/>
                                <w:szCs w:val="28"/>
                              </w:rPr>
                            </w:pPr>
                            <w:r>
                              <w:rPr>
                                <w:rFonts w:hint="eastAsia"/>
                                <w:color w:val="FF0000"/>
                                <w:sz w:val="28"/>
                                <w:szCs w:val="28"/>
                              </w:rPr>
                              <w:t>骑缝公章</w:t>
                            </w:r>
                          </w:p>
                        </w:txbxContent>
                      </wps:txbx>
                      <wps:bodyPr rot="0" vert="eaVert" wrap="square" lIns="91440" tIns="45720" rIns="91440" bIns="45720" anchor="t" anchorCtr="0" upright="1">
                        <a:noAutofit/>
                      </wps:bodyPr>
                    </wps:wsp>
                  </a:graphicData>
                </a:graphic>
              </wp:anchor>
            </w:drawing>
          </mc:Choice>
          <mc:Fallback>
            <w:pict>
              <v:shape id="Text Box 19" o:spid="_x0000_s1026" o:spt="202" type="#_x0000_t202" style="position:absolute;left:0pt;margin-left:186.4pt;margin-top:21.95pt;height:76.95pt;width:46.95pt;visibility:hidden;z-index:251664384;mso-width-relative:page;mso-height-relative:page;" fillcolor="#FFFFFF" filled="t" stroked="f" coordsize="21600,21600" o:gfxdata="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lm0g3YAAAACgEAAA8AAAAA&#10;AAAAAQAgAAAAIgAAAGRycy9kb3ducmV2LnhtbFBLAQIUABQAAAAIAIdO4kCIZsK/TQIAAMUEAAAO&#10;AAAAAAAAAAEAIAAAACcBAABkcnMvZTJvRG9jLnhtbFBLBQYAAAAABgAGAFkBAADmBQAAAAA=&#10;">
                <v:fill type="gradient" on="t" color2="#FFFFFF" angle="90" focus="100%" focussize="0,0">
                  <o:fill type="gradientUnscaled" v:ext="backwardCompatible"/>
                </v:fill>
                <v:stroke on="f"/>
                <v:imagedata o:title=""/>
                <o:lock v:ext="edit" aspectratio="f"/>
                <v:textbox style="layout-flow:vertical-ideographic;">
                  <w:txbxContent>
                    <w:p>
                      <w:pP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rPr>
          <w:rFonts w:ascii="宋体" w:hAnsi="宋体" w:cs="宋体"/>
          <w:highlight w:val="none"/>
        </w:rPr>
      </w:pPr>
    </w:p>
    <w:p>
      <w:pPr>
        <w:spacing w:line="400" w:lineRule="exact"/>
        <w:rPr>
          <w:rFonts w:ascii="宋体" w:hAnsi="宋体" w:cs="宋体"/>
          <w:b/>
          <w:sz w:val="24"/>
          <w:szCs w:val="28"/>
          <w:highlight w:val="none"/>
        </w:rPr>
      </w:pPr>
      <w:r>
        <w:rPr>
          <w:rFonts w:hint="eastAsia" w:ascii="宋体" w:hAnsi="宋体" w:cs="宋体"/>
          <w:b/>
          <w:bCs/>
          <w:szCs w:val="21"/>
          <w:highlight w:val="none"/>
        </w:rPr>
        <w:t>注：身份证复印件信息必须清晰可辨，如因清晰度不够引起的一切后果由供应商自行承担。</w:t>
      </w:r>
    </w:p>
    <w:bookmarkEnd w:id="150"/>
    <w:p>
      <w:pPr>
        <w:pageBreakBefore/>
        <w:spacing w:line="360" w:lineRule="auto"/>
        <w:rPr>
          <w:rFonts w:ascii="宋体" w:hAnsi="宋体" w:cs="宋体"/>
          <w:b/>
          <w:sz w:val="28"/>
          <w:highlight w:val="none"/>
        </w:rPr>
      </w:pPr>
      <w:bookmarkStart w:id="152" w:name="_Toc1471_WPSOffice_Level1"/>
      <w:bookmarkStart w:id="153" w:name="_Toc200"/>
      <w:r>
        <w:rPr>
          <w:rFonts w:hint="eastAsia" w:ascii="宋体" w:hAnsi="宋体" w:cs="宋体"/>
          <w:b/>
          <w:sz w:val="28"/>
          <w:highlight w:val="none"/>
        </w:rPr>
        <w:t>附件3：授权委托书</w:t>
      </w:r>
      <w:bookmarkEnd w:id="152"/>
    </w:p>
    <w:p>
      <w:pPr>
        <w:pStyle w:val="69"/>
        <w:spacing w:line="360" w:lineRule="exact"/>
        <w:jc w:val="center"/>
        <w:rPr>
          <w:rFonts w:cs="宋体"/>
          <w:b/>
          <w:sz w:val="32"/>
          <w:highlight w:val="none"/>
        </w:rPr>
      </w:pPr>
      <w:r>
        <w:rPr>
          <w:rFonts w:hint="eastAsia" w:cs="宋体"/>
          <w:b/>
          <w:sz w:val="32"/>
          <w:highlight w:val="none"/>
        </w:rPr>
        <w:t>授权委托书</w:t>
      </w:r>
    </w:p>
    <w:p>
      <w:pPr>
        <w:pStyle w:val="15"/>
        <w:rPr>
          <w:rFonts w:ascii="宋体" w:hAnsi="宋体" w:cs="宋体"/>
          <w:highlight w:val="none"/>
        </w:rPr>
      </w:pPr>
    </w:p>
    <w:p>
      <w:pPr>
        <w:adjustRightInd w:val="0"/>
        <w:snapToGrid w:val="0"/>
        <w:spacing w:line="480" w:lineRule="exact"/>
        <w:ind w:firstLine="451" w:firstLineChars="215"/>
        <w:rPr>
          <w:rFonts w:ascii="宋体" w:hAnsi="宋体" w:cs="宋体"/>
          <w:szCs w:val="21"/>
          <w:highlight w:val="none"/>
        </w:rPr>
      </w:pPr>
      <w:r>
        <w:rPr>
          <w:rFonts w:hint="eastAsia" w:ascii="宋体" w:hAnsi="宋体" w:cs="宋体"/>
          <w:szCs w:val="21"/>
          <w:highlight w:val="none"/>
        </w:rPr>
        <w:t xml:space="preserve">本授权委托书声明：本人 </w:t>
      </w:r>
      <w:r>
        <w:rPr>
          <w:rFonts w:hint="eastAsia" w:ascii="宋体" w:hAnsi="宋体" w:cs="宋体"/>
          <w:szCs w:val="21"/>
          <w:highlight w:val="none"/>
          <w:u w:val="single"/>
        </w:rPr>
        <w:t xml:space="preserve">  （法定代表人姓名）   </w:t>
      </w: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（被授权人的姓名）    </w:t>
      </w:r>
      <w:r>
        <w:rPr>
          <w:rFonts w:hint="eastAsia" w:ascii="宋体" w:hAnsi="宋体" w:cs="宋体"/>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日起签字生效，特此声明。</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被授权人情况如下（必填）：</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b/>
          <w:bCs/>
          <w:szCs w:val="21"/>
          <w:highlight w:val="none"/>
        </w:rPr>
        <w:t>被授权人签字</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val="0"/>
        <w:snapToGrid w:val="0"/>
        <w:spacing w:line="360" w:lineRule="auto"/>
        <w:rPr>
          <w:rFonts w:ascii="宋体" w:hAnsi="宋体" w:cs="宋体"/>
          <w:sz w:val="24"/>
          <w:szCs w:val="24"/>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供应商（盖章）：</w:t>
      </w:r>
    </w:p>
    <w:p>
      <w:pPr>
        <w:spacing w:line="360" w:lineRule="auto"/>
        <w:ind w:firstLine="4620" w:firstLineChars="2200"/>
        <w:rPr>
          <w:rFonts w:ascii="宋体" w:hAnsi="宋体" w:cs="宋体"/>
          <w:szCs w:val="21"/>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法定代表人签字或盖章：</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被授权人身份证复印件：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ascii="宋体" w:hAnsi="宋体" w:cs="宋体"/>
          <w:szCs w:val="21"/>
          <w:highlight w:val="none"/>
        </w:rPr>
      </w:pPr>
      <w:r>
        <w:rPr>
          <w:rFonts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2371725</wp:posOffset>
                </wp:positionH>
                <wp:positionV relativeFrom="paragraph">
                  <wp:posOffset>257175</wp:posOffset>
                </wp:positionV>
                <wp:extent cx="596265" cy="977265"/>
                <wp:effectExtent l="0" t="0" r="3810" b="0"/>
                <wp:wrapNone/>
                <wp:docPr id="9"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96265" cy="977265"/>
                        </a:xfrm>
                        <a:prstGeom prst="rect">
                          <a:avLst/>
                        </a:prstGeom>
                        <a:gradFill rotWithShape="0">
                          <a:gsLst>
                            <a:gs pos="0">
                              <a:srgbClr val="FFFFFF"/>
                            </a:gs>
                            <a:gs pos="100000">
                              <a:srgbClr val="FFFFFF"/>
                            </a:gs>
                          </a:gsLst>
                          <a:lin ang="0"/>
                        </a:gradFill>
                        <a:ln>
                          <a:noFill/>
                        </a:ln>
                      </wps:spPr>
                      <wps:txbx>
                        <w:txbxContent>
                          <w:p>
                            <w:pPr>
                              <w:rPr>
                                <w:color w:val="FF0000"/>
                                <w:sz w:val="28"/>
                                <w:szCs w:val="28"/>
                              </w:rPr>
                            </w:pPr>
                            <w:r>
                              <w:rPr>
                                <w:rFonts w:hint="eastAsia"/>
                                <w:color w:val="FF0000"/>
                                <w:sz w:val="28"/>
                                <w:szCs w:val="28"/>
                              </w:rPr>
                              <w:t>骑缝公章</w:t>
                            </w:r>
                          </w:p>
                        </w:txbxContent>
                      </wps:txbx>
                      <wps:bodyPr rot="0" vert="eaVert" wrap="square" lIns="91440" tIns="45720" rIns="91440" bIns="45720" anchor="t" anchorCtr="0" upright="1">
                        <a:noAutofit/>
                      </wps:bodyPr>
                    </wps:wsp>
                  </a:graphicData>
                </a:graphic>
              </wp:anchor>
            </w:drawing>
          </mc:Choice>
          <mc:Fallback>
            <w:pict>
              <v:shape id="Text Box 16" o:spid="_x0000_s1026" o:spt="202" type="#_x0000_t202" style="position:absolute;left:0pt;margin-left:186.75pt;margin-top:20.25pt;height:76.95pt;width:46.95pt;z-index:251663360;mso-width-relative:page;mso-height-relative:page;" fillcolor="#FFFFFF" filled="t" stroked="f" coordsize="21600,21600" o:gfxdata="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I6FSPYAAAACgEAAA8AAAAAAAAAAQAg&#10;AAAAIgAAAGRycy9kb3ducmV2LnhtbFBLAQIUABQAAAAIAIdO4kAeu8W1RwIAALkEAAAOAAAAAAAA&#10;AAEAIAAAACcBAABkcnMvZTJvRG9jLnhtbFBLBQYAAAAABgAGAFkBAADgBQAAAAA=&#10;">
                <v:fill type="gradient" on="t" color2="#FFFFFF" angle="90" focus="100%" focussize="0,0">
                  <o:fill type="gradientUnscaled" v:ext="backwardCompatible"/>
                </v:fill>
                <v:stroke on="f"/>
                <v:imagedata o:title=""/>
                <o:lock v:ext="edit" aspectratio="f"/>
                <v:textbox style="layout-flow:vertical-ideographic;">
                  <w:txbxContent>
                    <w:p>
                      <w:pPr>
                        <w:rPr>
                          <w:color w:val="FF0000"/>
                          <w:sz w:val="28"/>
                          <w:szCs w:val="28"/>
                        </w:rPr>
                      </w:pPr>
                      <w:r>
                        <w:rPr>
                          <w:rFonts w:hint="eastAsia"/>
                          <w:color w:val="FF0000"/>
                          <w:sz w:val="28"/>
                          <w:szCs w:val="28"/>
                        </w:rPr>
                        <w:t>骑缝公章</w:t>
                      </w:r>
                    </w:p>
                  </w:txbxContent>
                </v:textbox>
              </v:shape>
            </w:pict>
          </mc:Fallback>
        </mc:AlternateContent>
      </w:r>
      <w:r>
        <w:rPr>
          <w:rFonts w:ascii="宋体" w:hAnsi="宋体" w:cs="宋体"/>
          <w:sz w:val="24"/>
          <w:highlight w:val="none"/>
        </w:rPr>
        <mc:AlternateContent>
          <mc:Choice Requires="wps">
            <w:drawing>
              <wp:anchor distT="0" distB="0" distL="114300" distR="114300" simplePos="0" relativeHeight="251662336" behindDoc="0" locked="0" layoutInCell="1" hidden="1" allowOverlap="1">
                <wp:simplePos x="0" y="0"/>
                <wp:positionH relativeFrom="column">
                  <wp:posOffset>2367280</wp:posOffset>
                </wp:positionH>
                <wp:positionV relativeFrom="paragraph">
                  <wp:posOffset>278765</wp:posOffset>
                </wp:positionV>
                <wp:extent cx="596265" cy="977265"/>
                <wp:effectExtent l="0" t="2540" r="0" b="1270"/>
                <wp:wrapNone/>
                <wp:docPr id="5" name="Text Box 17" hidden="1"/>
                <wp:cNvGraphicFramePr/>
                <a:graphic xmlns:a="http://schemas.openxmlformats.org/drawingml/2006/main">
                  <a:graphicData uri="http://schemas.microsoft.com/office/word/2010/wordprocessingShape">
                    <wps:wsp>
                      <wps:cNvSpPr txBox="1">
                        <a:spLocks noChangeArrowheads="1"/>
                      </wps:cNvSpPr>
                      <wps:spPr bwMode="auto">
                        <a:xfrm>
                          <a:off x="0" y="0"/>
                          <a:ext cx="596265" cy="977265"/>
                        </a:xfrm>
                        <a:prstGeom prst="rect">
                          <a:avLst/>
                        </a:prstGeom>
                        <a:gradFill rotWithShape="0">
                          <a:gsLst>
                            <a:gs pos="0">
                              <a:srgbClr val="FFFFFF"/>
                            </a:gs>
                            <a:gs pos="100000">
                              <a:srgbClr val="FFFFFF"/>
                            </a:gs>
                          </a:gsLst>
                          <a:lin ang="0"/>
                        </a:gradFill>
                        <a:ln>
                          <a:noFill/>
                        </a:ln>
                      </wps:spPr>
                      <wps:txbx>
                        <w:txbxContent>
                          <w:p>
                            <w:pPr>
                              <w:rPr>
                                <w:color w:val="FF0000"/>
                                <w:sz w:val="28"/>
                                <w:szCs w:val="28"/>
                              </w:rPr>
                            </w:pPr>
                            <w:r>
                              <w:rPr>
                                <w:rFonts w:hint="eastAsia"/>
                                <w:color w:val="FF0000"/>
                                <w:sz w:val="28"/>
                                <w:szCs w:val="28"/>
                              </w:rPr>
                              <w:t>骑缝公章</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186.4pt;margin-top:21.95pt;height:76.95pt;width:46.95pt;visibility:hidden;z-index:251662336;mso-width-relative:page;mso-height-relative:page;" fillcolor="#FFFFFF" filled="t" stroked="f" coordsize="21600,21600" o:gfxdata="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lm0g3YAAAACgEAAA8AAAAA&#10;AAAAAQAgAAAAIgAAAGRycy9kb3ducmV2LnhtbFBLAQIUABQAAAAIAIdO4kALZ8qyTQIAAMQEAAAO&#10;AAAAAAAAAAEAIAAAACcBAABkcnMvZTJvRG9jLnhtbFBLBQYAAAAABgAGAFkBAADmBQAAAAA=&#10;">
                <v:fill type="gradient" on="t" color2="#FFFFFF" angle="90" focus="100%" focussize="0,0">
                  <o:fill type="gradientUnscaled" v:ext="backwardCompatible"/>
                </v:fill>
                <v:stroke on="f"/>
                <v:imagedata o:title=""/>
                <o:lock v:ext="edit" aspectratio="f"/>
                <v:textbox style="layout-flow:vertical-ideographic;">
                  <w:txbxContent>
                    <w:p>
                      <w:pP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spacing w:line="360" w:lineRule="auto"/>
        <w:rPr>
          <w:rFonts w:ascii="宋体" w:hAnsi="宋体" w:cs="宋体"/>
          <w:szCs w:val="21"/>
          <w:highlight w:val="none"/>
        </w:rPr>
      </w:pPr>
      <w:r>
        <w:rPr>
          <w:rFonts w:hint="eastAsia" w:ascii="宋体" w:hAnsi="宋体" w:cs="宋体"/>
          <w:szCs w:val="21"/>
          <w:highlight w:val="none"/>
        </w:rPr>
        <w:t>注：</w:t>
      </w:r>
    </w:p>
    <w:p>
      <w:pPr>
        <w:spacing w:line="360" w:lineRule="auto"/>
        <w:rPr>
          <w:rFonts w:ascii="宋体" w:hAnsi="宋体" w:cs="宋体"/>
          <w:szCs w:val="21"/>
          <w:highlight w:val="none"/>
        </w:rPr>
      </w:pPr>
      <w:r>
        <w:rPr>
          <w:rFonts w:hint="eastAsia" w:ascii="宋体" w:hAnsi="宋体" w:cs="宋体"/>
          <w:szCs w:val="21"/>
          <w:highlight w:val="none"/>
        </w:rPr>
        <w:t>1、法定代表人参加谈判会议时，须携带并按要求提交本人身份证原件。</w:t>
      </w:r>
    </w:p>
    <w:p>
      <w:pPr>
        <w:rPr>
          <w:rFonts w:ascii="宋体" w:hAnsi="宋体" w:cs="宋体"/>
          <w:b/>
          <w:bCs/>
          <w:szCs w:val="21"/>
          <w:highlight w:val="none"/>
        </w:rPr>
      </w:pPr>
      <w:r>
        <w:rPr>
          <w:rFonts w:hint="eastAsia" w:ascii="宋体" w:hAnsi="宋体" w:cs="宋体"/>
          <w:b/>
          <w:bCs/>
          <w:szCs w:val="21"/>
          <w:highlight w:val="none"/>
        </w:rPr>
        <w:t>2、被授权人参加谈判会议时，须携带并按要求提交授权委托书和本人身份证原件。</w:t>
      </w:r>
    </w:p>
    <w:p>
      <w:pPr>
        <w:spacing w:line="400" w:lineRule="exact"/>
        <w:rPr>
          <w:rFonts w:ascii="宋体" w:hAnsi="宋体" w:cs="宋体"/>
          <w:b/>
          <w:bCs/>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b/>
          <w:bCs/>
          <w:szCs w:val="21"/>
          <w:highlight w:val="none"/>
        </w:rPr>
        <w:t>3、身份证复印件信息必须清晰可辨，如因清晰度不够引起的一切后果由供应商自行承担。</w:t>
      </w:r>
    </w:p>
    <w:bookmarkEnd w:id="153"/>
    <w:p>
      <w:pPr>
        <w:spacing w:line="360" w:lineRule="auto"/>
        <w:outlineLvl w:val="0"/>
        <w:rPr>
          <w:rFonts w:ascii="宋体" w:hAnsi="宋体" w:cs="宋体"/>
          <w:b/>
          <w:sz w:val="28"/>
          <w:szCs w:val="22"/>
          <w:highlight w:val="none"/>
        </w:rPr>
      </w:pPr>
      <w:bookmarkStart w:id="154" w:name="_Toc3169"/>
      <w:bookmarkStart w:id="155" w:name="_Toc22536"/>
      <w:bookmarkStart w:id="156" w:name="_Toc13136"/>
      <w:bookmarkStart w:id="157" w:name="_Toc15814"/>
      <w:bookmarkStart w:id="158" w:name="_Toc306"/>
      <w:bookmarkStart w:id="159" w:name="_Toc30886"/>
      <w:bookmarkStart w:id="160" w:name="_Toc19587"/>
      <w:bookmarkStart w:id="161" w:name="_Toc9125"/>
      <w:bookmarkStart w:id="162" w:name="_Toc10980"/>
      <w:r>
        <w:rPr>
          <w:rFonts w:hint="eastAsia" w:ascii="宋体" w:hAnsi="宋体" w:cs="宋体"/>
          <w:b/>
          <w:sz w:val="28"/>
          <w:szCs w:val="22"/>
          <w:highlight w:val="none"/>
        </w:rPr>
        <w:t>附件4：报价一览表</w:t>
      </w:r>
      <w:bookmarkEnd w:id="154"/>
      <w:bookmarkEnd w:id="155"/>
      <w:bookmarkEnd w:id="156"/>
      <w:bookmarkEnd w:id="157"/>
      <w:bookmarkEnd w:id="158"/>
      <w:bookmarkEnd w:id="159"/>
      <w:bookmarkEnd w:id="160"/>
      <w:bookmarkEnd w:id="161"/>
    </w:p>
    <w:p>
      <w:pPr>
        <w:spacing w:line="360" w:lineRule="auto"/>
        <w:jc w:val="center"/>
        <w:rPr>
          <w:highlight w:val="none"/>
        </w:rPr>
      </w:pPr>
      <w:r>
        <w:rPr>
          <w:rFonts w:hint="eastAsia" w:ascii="宋体" w:hAnsi="宋体" w:cs="宋体"/>
          <w:b/>
          <w:sz w:val="28"/>
          <w:szCs w:val="22"/>
          <w:highlight w:val="none"/>
        </w:rPr>
        <w:t>报价一览表</w:t>
      </w:r>
    </w:p>
    <w:tbl>
      <w:tblPr>
        <w:tblStyle w:val="26"/>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项目编号</w:t>
            </w:r>
          </w:p>
        </w:tc>
        <w:tc>
          <w:tcPr>
            <w:tcW w:w="6991" w:type="dxa"/>
            <w:noWrap/>
            <w:vAlign w:val="center"/>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6991" w:type="dxa"/>
            <w:noWrap/>
            <w:vAlign w:val="center"/>
          </w:tcPr>
          <w:p>
            <w:pPr>
              <w:spacing w:line="4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pPr>
              <w:pStyle w:val="25"/>
              <w:ind w:firstLine="0"/>
              <w:jc w:val="center"/>
              <w:rPr>
                <w:highlight w:val="none"/>
              </w:rPr>
            </w:pPr>
            <w:r>
              <w:rPr>
                <w:rFonts w:hint="eastAsia"/>
                <w:highlight w:val="none"/>
              </w:rPr>
              <w:t>谈判总价（元）</w:t>
            </w:r>
          </w:p>
        </w:tc>
        <w:tc>
          <w:tcPr>
            <w:tcW w:w="6991" w:type="dxa"/>
            <w:noWrap/>
            <w:vAlign w:val="center"/>
          </w:tcPr>
          <w:p>
            <w:pPr>
              <w:spacing w:line="400" w:lineRule="exact"/>
              <w:jc w:val="left"/>
              <w:rPr>
                <w:rFonts w:ascii="宋体" w:hAnsi="宋体" w:cs="宋体"/>
                <w:szCs w:val="21"/>
                <w:highlight w:val="none"/>
              </w:rPr>
            </w:pPr>
            <w:r>
              <w:rPr>
                <w:rFonts w:hint="eastAsia" w:ascii="宋体" w:hAnsi="宋体" w:cs="宋体"/>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pPr>
              <w:pStyle w:val="25"/>
              <w:ind w:firstLine="0"/>
              <w:jc w:val="center"/>
              <w:rPr>
                <w:highlight w:val="none"/>
              </w:rPr>
            </w:pPr>
          </w:p>
        </w:tc>
        <w:tc>
          <w:tcPr>
            <w:tcW w:w="6991" w:type="dxa"/>
            <w:noWrap/>
            <w:vAlign w:val="center"/>
          </w:tcPr>
          <w:p>
            <w:pPr>
              <w:spacing w:line="400" w:lineRule="exact"/>
              <w:jc w:val="left"/>
              <w:rPr>
                <w:rFonts w:ascii="宋体" w:hAnsi="宋体" w:cs="宋体"/>
                <w:szCs w:val="21"/>
                <w:highlight w:val="none"/>
              </w:rPr>
            </w:pPr>
            <w:r>
              <w:rPr>
                <w:rFonts w:hint="eastAsia" w:ascii="宋体" w:hAnsi="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jc w:val="center"/>
              <w:rPr>
                <w:rFonts w:ascii="宋体" w:hAnsi="宋体" w:cs="宋体"/>
                <w:szCs w:val="21"/>
                <w:highlight w:val="none"/>
              </w:rPr>
            </w:pPr>
            <w:r>
              <w:rPr>
                <w:rFonts w:hint="eastAsia" w:ascii="宋体" w:hAnsi="宋体"/>
                <w:color w:val="000000"/>
                <w:highlight w:val="none"/>
              </w:rPr>
              <w:t>项目经理</w:t>
            </w:r>
          </w:p>
        </w:tc>
        <w:tc>
          <w:tcPr>
            <w:tcW w:w="6991" w:type="dxa"/>
            <w:noWrap/>
            <w:vAlign w:val="center"/>
          </w:tcPr>
          <w:p>
            <w:pPr>
              <w:spacing w:line="40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jc w:val="center"/>
              <w:rPr>
                <w:rFonts w:ascii="宋体" w:hAnsi="宋体"/>
                <w:color w:val="000000"/>
                <w:highlight w:val="none"/>
              </w:rPr>
            </w:pPr>
            <w:r>
              <w:rPr>
                <w:rFonts w:hint="eastAsia" w:ascii="宋体" w:hAnsi="宋体"/>
                <w:color w:val="000000"/>
                <w:highlight w:val="none"/>
              </w:rPr>
              <w:t>工期</w:t>
            </w:r>
          </w:p>
        </w:tc>
        <w:tc>
          <w:tcPr>
            <w:tcW w:w="6991" w:type="dxa"/>
            <w:noWrap/>
            <w:vAlign w:val="center"/>
          </w:tcPr>
          <w:p>
            <w:pPr>
              <w:spacing w:line="40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jc w:val="center"/>
              <w:rPr>
                <w:rFonts w:ascii="宋体" w:hAnsi="宋体"/>
                <w:color w:val="000000"/>
                <w:highlight w:val="none"/>
              </w:rPr>
            </w:pPr>
            <w:r>
              <w:rPr>
                <w:rFonts w:hint="eastAsia" w:ascii="宋体" w:hAnsi="宋体"/>
                <w:color w:val="000000"/>
                <w:highlight w:val="none"/>
              </w:rPr>
              <w:t>质量</w:t>
            </w:r>
          </w:p>
        </w:tc>
        <w:tc>
          <w:tcPr>
            <w:tcW w:w="6991" w:type="dxa"/>
            <w:noWrap/>
            <w:vAlign w:val="center"/>
          </w:tcPr>
          <w:p>
            <w:pPr>
              <w:spacing w:line="40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jc w:val="center"/>
              <w:rPr>
                <w:rFonts w:ascii="宋体" w:hAnsi="宋体"/>
                <w:color w:val="000000"/>
                <w:highlight w:val="none"/>
              </w:rPr>
            </w:pPr>
            <w:r>
              <w:rPr>
                <w:rFonts w:hint="eastAsia" w:ascii="宋体" w:hAnsi="宋体"/>
                <w:color w:val="000000"/>
                <w:highlight w:val="none"/>
              </w:rPr>
              <w:t>质保期</w:t>
            </w:r>
          </w:p>
        </w:tc>
        <w:tc>
          <w:tcPr>
            <w:tcW w:w="6991" w:type="dxa"/>
            <w:noWrap/>
            <w:vAlign w:val="center"/>
          </w:tcPr>
          <w:p>
            <w:pPr>
              <w:spacing w:line="400" w:lineRule="exact"/>
              <w:jc w:val="left"/>
              <w:rPr>
                <w:rFonts w:ascii="宋体" w:hAnsi="宋体" w:cs="宋体"/>
                <w:szCs w:val="21"/>
                <w:highlight w:val="none"/>
              </w:rPr>
            </w:pPr>
          </w:p>
        </w:tc>
      </w:tr>
    </w:tbl>
    <w:p>
      <w:pPr>
        <w:widowControl/>
        <w:snapToGrid w:val="0"/>
        <w:spacing w:line="360" w:lineRule="auto"/>
        <w:ind w:firstLine="4620" w:firstLineChars="2200"/>
        <w:rPr>
          <w:rFonts w:ascii="宋体" w:hAnsi="宋体" w:cs="Arial"/>
          <w:kern w:val="0"/>
          <w:szCs w:val="21"/>
          <w:highlight w:val="none"/>
        </w:rPr>
      </w:pPr>
    </w:p>
    <w:p>
      <w:pPr>
        <w:widowControl/>
        <w:snapToGrid w:val="0"/>
        <w:spacing w:line="360" w:lineRule="auto"/>
        <w:ind w:firstLine="4620" w:firstLineChars="2200"/>
        <w:rPr>
          <w:rFonts w:ascii="宋体" w:hAnsi="宋体" w:cs="Arial"/>
          <w:kern w:val="0"/>
          <w:szCs w:val="21"/>
          <w:highlight w:val="none"/>
        </w:rPr>
      </w:pPr>
      <w:r>
        <w:rPr>
          <w:rFonts w:hint="eastAsia" w:ascii="宋体" w:hAnsi="宋体" w:cs="Arial"/>
          <w:kern w:val="0"/>
          <w:szCs w:val="21"/>
          <w:highlight w:val="none"/>
        </w:rPr>
        <w:t>供应商（盖章）：</w:t>
      </w:r>
    </w:p>
    <w:p>
      <w:pPr>
        <w:widowControl/>
        <w:snapToGrid w:val="0"/>
        <w:spacing w:line="360" w:lineRule="auto"/>
        <w:rPr>
          <w:rFonts w:ascii="宋体" w:hAnsi="宋体" w:cs="Arial"/>
          <w:kern w:val="0"/>
          <w:szCs w:val="21"/>
          <w:highlight w:val="none"/>
        </w:rPr>
      </w:pPr>
    </w:p>
    <w:p>
      <w:pPr>
        <w:snapToGrid w:val="0"/>
        <w:spacing w:line="360" w:lineRule="auto"/>
        <w:ind w:firstLine="4620" w:firstLineChars="2200"/>
        <w:rPr>
          <w:rFonts w:ascii="宋体" w:hAnsi="宋体"/>
          <w:szCs w:val="21"/>
          <w:highlight w:val="none"/>
        </w:rPr>
      </w:pPr>
      <w:r>
        <w:rPr>
          <w:rFonts w:hint="eastAsia" w:ascii="宋体" w:hAnsi="宋体"/>
          <w:szCs w:val="21"/>
          <w:highlight w:val="none"/>
        </w:rPr>
        <w:t>法定代表人或代理人（签字或盖章）：</w:t>
      </w:r>
    </w:p>
    <w:p>
      <w:pPr>
        <w:snapToGrid w:val="0"/>
        <w:spacing w:line="360" w:lineRule="auto"/>
        <w:ind w:firstLine="4620" w:firstLineChars="2200"/>
        <w:rPr>
          <w:rFonts w:ascii="宋体" w:hAnsi="宋体"/>
          <w:szCs w:val="21"/>
          <w:highlight w:val="none"/>
        </w:rPr>
      </w:pPr>
    </w:p>
    <w:p>
      <w:pPr>
        <w:snapToGrid w:val="0"/>
        <w:spacing w:line="360" w:lineRule="auto"/>
        <w:ind w:firstLine="4620" w:firstLineChars="2200"/>
        <w:rPr>
          <w:rFonts w:ascii="Arial" w:hAnsi="Arial" w:cs="Arial"/>
          <w:kern w:val="0"/>
          <w:szCs w:val="21"/>
          <w:highlight w:val="none"/>
        </w:rPr>
      </w:pPr>
      <w:r>
        <w:rPr>
          <w:rFonts w:ascii="Arial" w:hAnsi="Arial" w:cs="Arial"/>
          <w:highlight w:val="none"/>
        </w:rPr>
        <w:t>日期：</w:t>
      </w:r>
      <w:r>
        <w:rPr>
          <w:rFonts w:ascii="Arial" w:hAnsi="Arial" w:cs="Arial"/>
          <w:kern w:val="0"/>
          <w:szCs w:val="21"/>
          <w:highlight w:val="none"/>
        </w:rPr>
        <w:t xml:space="preserve">年  月 </w:t>
      </w:r>
      <w:bookmarkStart w:id="163" w:name="_Toc10458"/>
    </w:p>
    <w:p>
      <w:pPr>
        <w:pStyle w:val="25"/>
        <w:rPr>
          <w:rFonts w:ascii="Arial" w:hAnsi="Arial" w:cs="Arial"/>
          <w:kern w:val="0"/>
          <w:szCs w:val="21"/>
          <w:highlight w:val="none"/>
        </w:rPr>
      </w:pPr>
    </w:p>
    <w:p>
      <w:pPr>
        <w:rPr>
          <w:rFonts w:ascii="Arial" w:hAnsi="Arial" w:cs="Arial"/>
          <w:kern w:val="0"/>
          <w:szCs w:val="21"/>
          <w:highlight w:val="none"/>
        </w:rPr>
      </w:pPr>
    </w:p>
    <w:p>
      <w:pPr>
        <w:pStyle w:val="25"/>
        <w:rPr>
          <w:rFonts w:ascii="Arial" w:hAnsi="Arial" w:cs="Arial"/>
          <w:kern w:val="0"/>
          <w:szCs w:val="21"/>
          <w:highlight w:val="none"/>
        </w:rPr>
      </w:pPr>
    </w:p>
    <w:p>
      <w:pPr>
        <w:rPr>
          <w:rFonts w:ascii="Arial" w:hAnsi="Arial" w:cs="Arial"/>
          <w:kern w:val="0"/>
          <w:szCs w:val="21"/>
          <w:highlight w:val="none"/>
        </w:rPr>
      </w:pPr>
    </w:p>
    <w:p>
      <w:pPr>
        <w:pStyle w:val="25"/>
        <w:rPr>
          <w:highlight w:val="none"/>
        </w:rPr>
      </w:pPr>
    </w:p>
    <w:p>
      <w:pPr>
        <w:spacing w:line="360" w:lineRule="auto"/>
        <w:outlineLvl w:val="0"/>
        <w:rPr>
          <w:rFonts w:ascii="宋体" w:hAnsi="宋体" w:cs="宋体"/>
          <w:b/>
          <w:sz w:val="28"/>
          <w:szCs w:val="22"/>
          <w:highlight w:val="none"/>
        </w:rPr>
      </w:pPr>
    </w:p>
    <w:p>
      <w:pPr>
        <w:spacing w:line="360" w:lineRule="auto"/>
        <w:outlineLvl w:val="0"/>
        <w:rPr>
          <w:rFonts w:ascii="宋体" w:hAnsi="宋体" w:cs="宋体"/>
          <w:b/>
          <w:sz w:val="28"/>
          <w:szCs w:val="22"/>
          <w:highlight w:val="none"/>
        </w:rPr>
      </w:pPr>
    </w:p>
    <w:p>
      <w:pPr>
        <w:spacing w:line="360" w:lineRule="auto"/>
        <w:outlineLvl w:val="0"/>
        <w:rPr>
          <w:rFonts w:ascii="宋体" w:hAnsi="宋体" w:cs="宋体"/>
          <w:b/>
          <w:sz w:val="28"/>
          <w:szCs w:val="22"/>
          <w:highlight w:val="none"/>
        </w:rPr>
      </w:pPr>
    </w:p>
    <w:p>
      <w:pPr>
        <w:pStyle w:val="25"/>
        <w:rPr>
          <w:rFonts w:ascii="宋体" w:hAnsi="宋体" w:cs="宋体"/>
          <w:b/>
          <w:sz w:val="28"/>
          <w:szCs w:val="22"/>
          <w:highlight w:val="none"/>
        </w:rPr>
      </w:pPr>
    </w:p>
    <w:p>
      <w:pPr>
        <w:rPr>
          <w:rFonts w:ascii="宋体" w:hAnsi="宋体" w:cs="宋体"/>
          <w:b/>
          <w:sz w:val="28"/>
          <w:szCs w:val="22"/>
          <w:highlight w:val="none"/>
        </w:rPr>
      </w:pPr>
      <w:r>
        <w:rPr>
          <w:rFonts w:hint="eastAsia" w:ascii="宋体" w:hAnsi="宋体" w:cs="宋体"/>
          <w:b/>
          <w:sz w:val="28"/>
          <w:szCs w:val="22"/>
          <w:highlight w:val="none"/>
        </w:rPr>
        <w:t>附件5：谈判总价</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谈  判  总   价</w:t>
      </w: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rPr>
        <w:t>采   购  人：</w:t>
      </w:r>
      <w:r>
        <w:rPr>
          <w:rFonts w:hint="eastAsia" w:ascii="宋体" w:hAnsi="宋体" w:cs="宋体"/>
          <w:b/>
          <w:sz w:val="30"/>
          <w:szCs w:val="30"/>
          <w:highlight w:val="none"/>
          <w:u w:val="single"/>
        </w:rPr>
        <w:t xml:space="preserve">                                 </w:t>
      </w:r>
    </w:p>
    <w:p>
      <w:pPr>
        <w:spacing w:line="360" w:lineRule="auto"/>
        <w:ind w:firstLine="600" w:firstLineChars="200"/>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rPr>
        <w:t>工 程 名 称：</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 xml:space="preserve">           </w:t>
      </w:r>
    </w:p>
    <w:p>
      <w:pPr>
        <w:spacing w:line="360" w:lineRule="auto"/>
        <w:ind w:firstLine="600" w:firstLineChars="200"/>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rPr>
        <w:t>谈判总价（小写）：</w:t>
      </w:r>
      <w:r>
        <w:rPr>
          <w:rFonts w:hint="eastAsia" w:ascii="宋体" w:hAnsi="宋体" w:cs="宋体"/>
          <w:b/>
          <w:sz w:val="30"/>
          <w:szCs w:val="30"/>
          <w:highlight w:val="none"/>
          <w:u w:val="single"/>
        </w:rPr>
        <w:t xml:space="preserve">                            </w:t>
      </w:r>
    </w:p>
    <w:p>
      <w:pPr>
        <w:spacing w:line="360" w:lineRule="auto"/>
        <w:ind w:firstLine="1807" w:firstLineChars="600"/>
        <w:rPr>
          <w:rFonts w:ascii="宋体" w:hAnsi="宋体" w:cs="宋体"/>
          <w:sz w:val="30"/>
          <w:szCs w:val="30"/>
          <w:highlight w:val="none"/>
          <w:u w:val="single"/>
        </w:rPr>
      </w:pPr>
      <w:r>
        <w:rPr>
          <w:rFonts w:hint="eastAsia" w:ascii="宋体" w:hAnsi="宋体" w:cs="宋体"/>
          <w:b/>
          <w:sz w:val="30"/>
          <w:szCs w:val="30"/>
          <w:highlight w:val="none"/>
        </w:rPr>
        <w:t>（大写）：</w:t>
      </w:r>
      <w:r>
        <w:rPr>
          <w:rFonts w:hint="eastAsia" w:ascii="宋体" w:hAnsi="宋体" w:cs="宋体"/>
          <w:sz w:val="30"/>
          <w:szCs w:val="30"/>
          <w:highlight w:val="none"/>
          <w:u w:val="single"/>
        </w:rPr>
        <w:t xml:space="preserve">                            </w:t>
      </w:r>
    </w:p>
    <w:p>
      <w:pPr>
        <w:spacing w:line="360" w:lineRule="auto"/>
        <w:rPr>
          <w:rFonts w:ascii="宋体" w:hAnsi="宋体" w:cs="宋体"/>
          <w:sz w:val="30"/>
          <w:szCs w:val="30"/>
          <w:highlight w:val="none"/>
        </w:rPr>
      </w:pP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供 应 商：</w:t>
      </w:r>
      <w:r>
        <w:rPr>
          <w:rFonts w:hint="eastAsia" w:ascii="宋体" w:hAnsi="宋体" w:cs="宋体"/>
          <w:sz w:val="30"/>
          <w:szCs w:val="30"/>
          <w:highlight w:val="none"/>
          <w:u w:val="single"/>
        </w:rPr>
        <w:t xml:space="preserve">                            </w:t>
      </w:r>
      <w:r>
        <w:rPr>
          <w:rFonts w:hint="eastAsia" w:ascii="宋体" w:hAnsi="宋体" w:cs="宋体"/>
          <w:szCs w:val="21"/>
          <w:highlight w:val="none"/>
        </w:rPr>
        <w:t>（单位盖公章）</w:t>
      </w:r>
    </w:p>
    <w:p>
      <w:pPr>
        <w:spacing w:line="360" w:lineRule="auto"/>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法定代表人</w:t>
      </w: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或其代理人：</w:t>
      </w:r>
      <w:r>
        <w:rPr>
          <w:rFonts w:hint="eastAsia" w:ascii="宋体" w:hAnsi="宋体" w:cs="宋体"/>
          <w:sz w:val="30"/>
          <w:szCs w:val="30"/>
          <w:highlight w:val="none"/>
          <w:u w:val="single"/>
        </w:rPr>
        <w:t xml:space="preserve">                         </w:t>
      </w:r>
      <w:r>
        <w:rPr>
          <w:rFonts w:hint="eastAsia" w:ascii="宋体" w:hAnsi="宋体" w:cs="宋体"/>
          <w:szCs w:val="21"/>
          <w:highlight w:val="none"/>
        </w:rPr>
        <w:t xml:space="preserve"> （签字或盖公章）</w:t>
      </w: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编  制  人：</w:t>
      </w:r>
      <w:r>
        <w:rPr>
          <w:rFonts w:hint="eastAsia" w:ascii="宋体" w:hAnsi="宋体" w:cs="宋体"/>
          <w:sz w:val="30"/>
          <w:szCs w:val="30"/>
          <w:highlight w:val="none"/>
          <w:u w:val="single"/>
        </w:rPr>
        <w:t xml:space="preserve">                   </w:t>
      </w:r>
      <w:r>
        <w:rPr>
          <w:rFonts w:hint="eastAsia" w:ascii="宋体" w:hAnsi="宋体" w:cs="宋体"/>
          <w:szCs w:val="21"/>
          <w:highlight w:val="none"/>
        </w:rPr>
        <w:t>（造价人员签字或盖专用章）</w:t>
      </w: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编 制 时 间：</w:t>
      </w:r>
    </w:p>
    <w:p>
      <w:pPr>
        <w:widowControl/>
        <w:snapToGrid w:val="0"/>
        <w:spacing w:line="360" w:lineRule="auto"/>
        <w:ind w:firstLine="4620" w:firstLineChars="2200"/>
        <w:rPr>
          <w:rFonts w:ascii="宋体" w:hAnsi="宋体" w:cs="Arial"/>
          <w:kern w:val="0"/>
          <w:szCs w:val="21"/>
          <w:highlight w:val="none"/>
        </w:rPr>
        <w:sectPr>
          <w:pgSz w:w="11907" w:h="16839"/>
          <w:pgMar w:top="1440" w:right="1800" w:bottom="1440" w:left="1800" w:header="851" w:footer="992" w:gutter="0"/>
          <w:pgNumType w:chapStyle="1"/>
          <w:cols w:space="720" w:num="1"/>
          <w:docGrid w:type="lines" w:linePitch="312" w:charSpace="0"/>
        </w:sectPr>
      </w:pPr>
    </w:p>
    <w:p>
      <w:pPr>
        <w:spacing w:line="360" w:lineRule="auto"/>
        <w:outlineLvl w:val="0"/>
        <w:rPr>
          <w:rFonts w:ascii="宋体" w:hAnsi="宋体" w:cs="宋体"/>
          <w:sz w:val="28"/>
          <w:highlight w:val="none"/>
        </w:rPr>
      </w:pPr>
      <w:r>
        <w:rPr>
          <w:rFonts w:hint="eastAsia" w:ascii="宋体" w:hAnsi="宋体" w:cs="宋体"/>
          <w:b/>
          <w:sz w:val="28"/>
          <w:szCs w:val="22"/>
          <w:highlight w:val="none"/>
        </w:rPr>
        <w:t>附件6：质量保证、服务承诺书</w:t>
      </w:r>
      <w:bookmarkEnd w:id="163"/>
    </w:p>
    <w:p>
      <w:pPr>
        <w:tabs>
          <w:tab w:val="left" w:pos="432"/>
        </w:tabs>
        <w:spacing w:line="480" w:lineRule="exact"/>
        <w:jc w:val="center"/>
        <w:rPr>
          <w:rFonts w:ascii="宋体" w:hAnsi="宋体" w:cs="宋体"/>
          <w:b/>
          <w:sz w:val="24"/>
          <w:highlight w:val="none"/>
        </w:rPr>
      </w:pPr>
      <w:r>
        <w:rPr>
          <w:rFonts w:hint="eastAsia" w:ascii="宋体" w:hAnsi="宋体" w:cs="宋体"/>
          <w:b/>
          <w:sz w:val="24"/>
          <w:highlight w:val="none"/>
        </w:rPr>
        <w:t>质量保证、服务承诺书</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质量保证：</w:t>
      </w:r>
    </w:p>
    <w:p>
      <w:pPr>
        <w:spacing w:line="360" w:lineRule="auto"/>
        <w:rPr>
          <w:rFonts w:ascii="宋体" w:hAnsi="宋体" w:cs="宋体"/>
          <w:sz w:val="24"/>
          <w:highlight w:val="none"/>
        </w:rPr>
      </w:pPr>
    </w:p>
    <w:p>
      <w:pPr>
        <w:pStyle w:val="25"/>
        <w:ind w:firstLine="0"/>
        <w:rPr>
          <w:rFonts w:ascii="宋体" w:hAnsi="宋体" w:cs="宋体"/>
          <w:sz w:val="24"/>
          <w:highlight w:val="none"/>
        </w:rPr>
      </w:pPr>
    </w:p>
    <w:p>
      <w:pPr>
        <w:rPr>
          <w:rFonts w:ascii="宋体" w:hAnsi="宋体" w:cs="宋体"/>
          <w:sz w:val="24"/>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highlight w:val="none"/>
        </w:rPr>
      </w:pPr>
    </w:p>
    <w:p>
      <w:pPr>
        <w:rPr>
          <w:rFonts w:ascii="宋体" w:hAnsi="宋体" w:cs="宋体"/>
          <w:highlight w:val="none"/>
        </w:rPr>
      </w:pPr>
    </w:p>
    <w:p>
      <w:pPr>
        <w:spacing w:line="360" w:lineRule="auto"/>
        <w:rPr>
          <w:rFonts w:ascii="宋体" w:hAnsi="宋体" w:cs="宋体"/>
          <w:sz w:val="24"/>
          <w:highlight w:val="none"/>
        </w:rPr>
      </w:pPr>
      <w:r>
        <w:rPr>
          <w:rFonts w:hint="eastAsia" w:ascii="宋体" w:hAnsi="宋体" w:cs="宋体"/>
          <w:sz w:val="24"/>
          <w:highlight w:val="none"/>
        </w:rPr>
        <w:t>服务承诺：</w:t>
      </w:r>
    </w:p>
    <w:p>
      <w:pPr>
        <w:pStyle w:val="25"/>
        <w:rPr>
          <w:rFonts w:ascii="宋体" w:hAnsi="宋体" w:cs="宋体"/>
          <w:sz w:val="24"/>
          <w:highlight w:val="none"/>
        </w:rPr>
      </w:pPr>
    </w:p>
    <w:p>
      <w:pPr>
        <w:rPr>
          <w:rFonts w:ascii="宋体" w:hAnsi="宋体" w:cs="宋体"/>
          <w:sz w:val="24"/>
          <w:highlight w:val="none"/>
        </w:rPr>
      </w:pPr>
    </w:p>
    <w:p>
      <w:pPr>
        <w:pStyle w:val="25"/>
        <w:rPr>
          <w:rFonts w:ascii="宋体" w:hAnsi="宋体" w:cs="宋体"/>
          <w:highlight w:val="none"/>
        </w:rPr>
      </w:pPr>
    </w:p>
    <w:p>
      <w:pPr>
        <w:pStyle w:val="25"/>
        <w:rPr>
          <w:rFonts w:ascii="宋体" w:hAnsi="宋体" w:cs="宋体"/>
          <w:sz w:val="24"/>
          <w:highlight w:val="none"/>
        </w:rPr>
      </w:pPr>
    </w:p>
    <w:p>
      <w:pPr>
        <w:rPr>
          <w:rFonts w:ascii="宋体" w:hAnsi="宋体" w:cs="宋体"/>
          <w:sz w:val="24"/>
          <w:highlight w:val="none"/>
        </w:rPr>
      </w:pPr>
    </w:p>
    <w:p>
      <w:pPr>
        <w:pStyle w:val="25"/>
        <w:rPr>
          <w:highlight w:val="none"/>
        </w:rPr>
      </w:pPr>
    </w:p>
    <w:p>
      <w:pPr>
        <w:pStyle w:val="25"/>
        <w:rPr>
          <w:rFonts w:ascii="宋体" w:hAnsi="宋体" w:cs="宋体"/>
          <w:sz w:val="24"/>
          <w:highlight w:val="none"/>
        </w:rPr>
      </w:pPr>
    </w:p>
    <w:p>
      <w:pPr>
        <w:pStyle w:val="25"/>
        <w:ind w:left="4410" w:leftChars="2100"/>
        <w:rPr>
          <w:rFonts w:ascii="宋体" w:hAnsi="宋体" w:cs="宋体"/>
          <w:szCs w:val="21"/>
          <w:highlight w:val="none"/>
        </w:rPr>
      </w:pPr>
      <w:r>
        <w:rPr>
          <w:rFonts w:hint="eastAsia" w:ascii="宋体" w:hAnsi="宋体" w:cs="宋体"/>
          <w:szCs w:val="21"/>
          <w:highlight w:val="none"/>
        </w:rPr>
        <w:t xml:space="preserve">供应商（盖章）：                    </w:t>
      </w: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r>
        <w:rPr>
          <w:rFonts w:hint="eastAsia" w:ascii="宋体" w:hAnsi="宋体" w:cs="宋体"/>
          <w:szCs w:val="21"/>
          <w:highlight w:val="none"/>
        </w:rPr>
        <w:t>法定代表人或代理人（签字或盖章）：</w:t>
      </w: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szCs w:val="21"/>
          <w:highlight w:val="none"/>
        </w:rPr>
        <w:t>日期：      年  月   日</w:t>
      </w:r>
    </w:p>
    <w:p>
      <w:pPr>
        <w:rPr>
          <w:rFonts w:ascii="宋体" w:hAnsi="宋体" w:cs="宋体"/>
          <w:b/>
          <w:sz w:val="28"/>
          <w:szCs w:val="28"/>
          <w:highlight w:val="none"/>
        </w:rPr>
      </w:pPr>
      <w:r>
        <w:rPr>
          <w:rFonts w:hint="eastAsia" w:ascii="宋体" w:hAnsi="宋体" w:cs="宋体"/>
          <w:b/>
          <w:sz w:val="28"/>
          <w:szCs w:val="28"/>
          <w:highlight w:val="none"/>
        </w:rPr>
        <w:t>附件7：偏离表</w:t>
      </w:r>
      <w:bookmarkEnd w:id="162"/>
    </w:p>
    <w:p>
      <w:pPr>
        <w:pStyle w:val="69"/>
        <w:spacing w:line="360" w:lineRule="exact"/>
        <w:jc w:val="center"/>
        <w:rPr>
          <w:rFonts w:cs="宋体"/>
          <w:b/>
          <w:sz w:val="28"/>
          <w:szCs w:val="28"/>
          <w:highlight w:val="none"/>
        </w:rPr>
      </w:pPr>
      <w:r>
        <w:rPr>
          <w:rFonts w:hint="eastAsia" w:cs="宋体"/>
          <w:b/>
          <w:sz w:val="28"/>
          <w:szCs w:val="28"/>
          <w:highlight w:val="none"/>
        </w:rPr>
        <w:t>偏 离 表</w:t>
      </w:r>
    </w:p>
    <w:p>
      <w:pPr>
        <w:rPr>
          <w:rFonts w:ascii="宋体" w:hAnsi="宋体" w:cs="宋体"/>
          <w:b/>
          <w:szCs w:val="21"/>
          <w:highlight w:val="none"/>
        </w:rPr>
      </w:pPr>
    </w:p>
    <w:p>
      <w:pPr>
        <w:ind w:firstLine="420" w:firstLineChars="200"/>
        <w:rPr>
          <w:rFonts w:ascii="宋体" w:hAnsi="宋体" w:cs="宋体"/>
          <w:szCs w:val="21"/>
          <w:highlight w:val="none"/>
        </w:rPr>
      </w:pPr>
      <w:r>
        <w:rPr>
          <w:rFonts w:hint="eastAsia" w:ascii="宋体" w:hAnsi="宋体" w:cs="宋体"/>
          <w:szCs w:val="21"/>
          <w:highlight w:val="none"/>
        </w:rPr>
        <w:t>供应商应对谈判文件中规定的商务及技术部分给予充分的考虑。为了评审的需要，供应商应将这些条款的异议逐条提出或根据以下要求的格式提出偏离。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highlight w:val="none"/>
        </w:rPr>
      </w:pPr>
      <w:r>
        <w:rPr>
          <w:rFonts w:hint="eastAsia" w:ascii="宋体" w:hAnsi="宋体" w:cs="宋体"/>
          <w:szCs w:val="21"/>
          <w:highlight w:val="none"/>
        </w:rPr>
        <w:t xml:space="preserve">如无偏离，请在本页上写“无”，并附在响应文件中。      </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pPr>
              <w:jc w:val="center"/>
              <w:rPr>
                <w:rFonts w:ascii="宋体" w:hAnsi="宋体" w:cs="宋体"/>
                <w:szCs w:val="21"/>
                <w:highlight w:val="none"/>
              </w:rPr>
            </w:pPr>
            <w:r>
              <w:rPr>
                <w:rFonts w:hint="eastAsia" w:ascii="宋体" w:hAnsi="宋体" w:cs="宋体"/>
                <w:szCs w:val="21"/>
                <w:highlight w:val="none"/>
              </w:rPr>
              <w:t>章节号</w:t>
            </w:r>
          </w:p>
        </w:tc>
        <w:tc>
          <w:tcPr>
            <w:tcW w:w="2132" w:type="dxa"/>
            <w:vAlign w:val="center"/>
          </w:tcPr>
          <w:p>
            <w:pPr>
              <w:jc w:val="center"/>
              <w:rPr>
                <w:rFonts w:ascii="宋体" w:hAnsi="宋体" w:cs="宋体"/>
                <w:szCs w:val="21"/>
                <w:highlight w:val="none"/>
              </w:rPr>
            </w:pPr>
            <w:r>
              <w:rPr>
                <w:rFonts w:hint="eastAsia" w:ascii="宋体" w:hAnsi="宋体" w:cs="宋体"/>
                <w:szCs w:val="21"/>
                <w:highlight w:val="none"/>
              </w:rPr>
              <w:t>供应商的偏离</w:t>
            </w:r>
          </w:p>
        </w:tc>
        <w:tc>
          <w:tcPr>
            <w:tcW w:w="3044" w:type="dxa"/>
            <w:vAlign w:val="center"/>
          </w:tcPr>
          <w:p>
            <w:pPr>
              <w:jc w:val="center"/>
              <w:rPr>
                <w:rFonts w:ascii="宋体" w:hAnsi="宋体" w:cs="宋体"/>
                <w:szCs w:val="21"/>
                <w:highlight w:val="none"/>
              </w:rPr>
            </w:pPr>
            <w:r>
              <w:rPr>
                <w:rFonts w:hint="eastAsia" w:ascii="宋体" w:hAnsi="宋体" w:cs="宋体"/>
                <w:szCs w:val="21"/>
                <w:highlight w:val="none"/>
              </w:rPr>
              <w:t>供应商偏离的理由</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pPr>
              <w:rPr>
                <w:rFonts w:ascii="宋体" w:hAnsi="宋体" w:cs="宋体"/>
                <w:szCs w:val="21"/>
                <w:highlight w:val="none"/>
              </w:rPr>
            </w:pPr>
          </w:p>
        </w:tc>
        <w:tc>
          <w:tcPr>
            <w:tcW w:w="2132" w:type="dxa"/>
          </w:tcPr>
          <w:p>
            <w:pPr>
              <w:rPr>
                <w:rFonts w:ascii="宋体" w:hAnsi="宋体" w:cs="宋体"/>
                <w:szCs w:val="21"/>
                <w:highlight w:val="none"/>
              </w:rPr>
            </w:pPr>
          </w:p>
        </w:tc>
        <w:tc>
          <w:tcPr>
            <w:tcW w:w="3044" w:type="dxa"/>
          </w:tcPr>
          <w:p>
            <w:pPr>
              <w:rPr>
                <w:rFonts w:ascii="宋体" w:hAnsi="宋体" w:cs="宋体"/>
                <w:szCs w:val="21"/>
                <w:highlight w:val="none"/>
              </w:rPr>
            </w:pPr>
          </w:p>
        </w:tc>
        <w:tc>
          <w:tcPr>
            <w:tcW w:w="1440"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pPr>
              <w:rPr>
                <w:rFonts w:ascii="宋体" w:hAnsi="宋体" w:cs="宋体"/>
                <w:szCs w:val="21"/>
                <w:highlight w:val="none"/>
              </w:rPr>
            </w:pPr>
          </w:p>
        </w:tc>
        <w:tc>
          <w:tcPr>
            <w:tcW w:w="2132" w:type="dxa"/>
          </w:tcPr>
          <w:p>
            <w:pPr>
              <w:rPr>
                <w:rFonts w:ascii="宋体" w:hAnsi="宋体" w:cs="宋体"/>
                <w:szCs w:val="21"/>
                <w:highlight w:val="none"/>
              </w:rPr>
            </w:pPr>
          </w:p>
        </w:tc>
        <w:tc>
          <w:tcPr>
            <w:tcW w:w="3044" w:type="dxa"/>
          </w:tcPr>
          <w:p>
            <w:pPr>
              <w:rPr>
                <w:rFonts w:ascii="宋体" w:hAnsi="宋体" w:cs="宋体"/>
                <w:szCs w:val="21"/>
                <w:highlight w:val="none"/>
              </w:rPr>
            </w:pPr>
          </w:p>
        </w:tc>
        <w:tc>
          <w:tcPr>
            <w:tcW w:w="1440" w:type="dxa"/>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pPr>
              <w:rPr>
                <w:rFonts w:ascii="宋体" w:hAnsi="宋体" w:cs="宋体"/>
                <w:szCs w:val="21"/>
                <w:highlight w:val="none"/>
              </w:rPr>
            </w:pPr>
          </w:p>
        </w:tc>
        <w:tc>
          <w:tcPr>
            <w:tcW w:w="2132" w:type="dxa"/>
          </w:tcPr>
          <w:p>
            <w:pPr>
              <w:rPr>
                <w:rFonts w:ascii="宋体" w:hAnsi="宋体" w:cs="宋体"/>
                <w:szCs w:val="21"/>
                <w:highlight w:val="none"/>
              </w:rPr>
            </w:pPr>
          </w:p>
        </w:tc>
        <w:tc>
          <w:tcPr>
            <w:tcW w:w="3044" w:type="dxa"/>
          </w:tcPr>
          <w:p>
            <w:pPr>
              <w:rPr>
                <w:rFonts w:ascii="宋体" w:hAnsi="宋体" w:cs="宋体"/>
                <w:szCs w:val="21"/>
                <w:highlight w:val="none"/>
              </w:rPr>
            </w:pPr>
          </w:p>
        </w:tc>
        <w:tc>
          <w:tcPr>
            <w:tcW w:w="1440" w:type="dxa"/>
          </w:tcPr>
          <w:p>
            <w:pPr>
              <w:rPr>
                <w:rFonts w:ascii="宋体" w:hAnsi="宋体" w:cs="宋体"/>
                <w:szCs w:val="21"/>
                <w:highlight w:val="none"/>
              </w:rPr>
            </w:pPr>
          </w:p>
        </w:tc>
      </w:tr>
    </w:tbl>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供应商（盖章）：                    </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法定代表人或代理人（签字或盖章）：</w:t>
      </w:r>
    </w:p>
    <w:p>
      <w:pPr>
        <w:rPr>
          <w:rFonts w:ascii="宋体" w:hAnsi="宋体" w:cs="宋体"/>
          <w:sz w:val="18"/>
          <w:szCs w:val="18"/>
          <w:highlight w:val="none"/>
        </w:rPr>
      </w:pPr>
    </w:p>
    <w:p>
      <w:pPr>
        <w:rPr>
          <w:rFonts w:ascii="宋体" w:hAnsi="宋体" w:cs="宋体"/>
          <w:szCs w:val="21"/>
          <w:highlight w:val="none"/>
        </w:rPr>
      </w:pPr>
      <w:r>
        <w:rPr>
          <w:rFonts w:hint="eastAsia" w:ascii="宋体" w:hAnsi="宋体" w:cs="宋体"/>
          <w:szCs w:val="21"/>
          <w:highlight w:val="none"/>
        </w:rPr>
        <w:t>日期：   年  月  日</w:t>
      </w:r>
    </w:p>
    <w:p>
      <w:pPr>
        <w:pStyle w:val="5"/>
        <w:overflowPunct w:val="0"/>
        <w:spacing w:line="500" w:lineRule="exact"/>
        <w:ind w:firstLine="0"/>
        <w:outlineLvl w:val="1"/>
        <w:rPr>
          <w:rFonts w:hAnsi="宋体" w:cs="宋体"/>
          <w:b/>
          <w:sz w:val="28"/>
          <w:highlight w:val="none"/>
        </w:rPr>
        <w:sectPr>
          <w:pgSz w:w="11907" w:h="16839"/>
          <w:pgMar w:top="1440" w:right="1800" w:bottom="1440" w:left="1800" w:header="851" w:footer="992" w:gutter="0"/>
          <w:pgNumType w:chapStyle="1"/>
          <w:cols w:space="720" w:num="1"/>
          <w:docGrid w:type="lines" w:linePitch="312" w:charSpace="0"/>
        </w:sectPr>
      </w:pPr>
    </w:p>
    <w:p>
      <w:pPr>
        <w:rPr>
          <w:rFonts w:ascii="宋体" w:hAnsi="宋体" w:cs="宋体"/>
          <w:b/>
          <w:sz w:val="28"/>
          <w:szCs w:val="28"/>
          <w:highlight w:val="none"/>
        </w:rPr>
      </w:pPr>
      <w:r>
        <w:rPr>
          <w:rFonts w:hint="eastAsia" w:ascii="宋体" w:hAnsi="宋体" w:cs="宋体"/>
          <w:b/>
          <w:sz w:val="28"/>
          <w:szCs w:val="28"/>
          <w:highlight w:val="none"/>
        </w:rPr>
        <w:t>附件8：联合体协议</w:t>
      </w:r>
    </w:p>
    <w:p>
      <w:pPr>
        <w:spacing w:line="420" w:lineRule="exact"/>
        <w:jc w:val="center"/>
        <w:rPr>
          <w:b/>
          <w:color w:val="000000"/>
          <w:sz w:val="36"/>
          <w:szCs w:val="36"/>
          <w:highlight w:val="none"/>
        </w:rPr>
      </w:pPr>
      <w:r>
        <w:rPr>
          <w:rFonts w:hint="eastAsia"/>
          <w:b/>
          <w:color w:val="000000"/>
          <w:sz w:val="36"/>
          <w:szCs w:val="36"/>
          <w:highlight w:val="none"/>
        </w:rPr>
        <w:t>联合体协议</w:t>
      </w:r>
    </w:p>
    <w:p>
      <w:pPr>
        <w:spacing w:line="420" w:lineRule="exact"/>
        <w:ind w:firstLine="828" w:firstLineChars="345"/>
        <w:rPr>
          <w:bCs/>
          <w:color w:val="000000"/>
          <w:highlight w:val="none"/>
        </w:rPr>
      </w:pPr>
      <w:r>
        <w:rPr>
          <w:bCs/>
          <w:color w:val="000000"/>
          <w:sz w:val="24"/>
          <w:highlight w:val="none"/>
        </w:rPr>
        <w:t>___________ 、 __________ 及 __________就“________________</w:t>
      </w:r>
      <w:r>
        <w:rPr>
          <w:bCs/>
          <w:color w:val="000000"/>
          <w:sz w:val="24"/>
          <w:highlight w:val="none"/>
          <w:u w:val="single"/>
        </w:rPr>
        <w:t>（项目名称）</w:t>
      </w:r>
      <w:r>
        <w:rPr>
          <w:color w:val="000000"/>
          <w:sz w:val="24"/>
          <w:highlight w:val="none"/>
        </w:rPr>
        <w:t>”____包</w:t>
      </w:r>
      <w:r>
        <w:rPr>
          <w:bCs/>
          <w:color w:val="000000"/>
          <w:sz w:val="24"/>
          <w:highlight w:val="none"/>
        </w:rPr>
        <w:t>采购项目的响应事宜，经各方充分协商一致，达成如下协议：</w:t>
      </w:r>
    </w:p>
    <w:p>
      <w:pPr>
        <w:spacing w:line="420" w:lineRule="exact"/>
        <w:ind w:firstLine="480" w:firstLineChars="200"/>
        <w:rPr>
          <w:bCs/>
          <w:color w:val="000000"/>
          <w:sz w:val="24"/>
          <w:highlight w:val="none"/>
        </w:rPr>
      </w:pPr>
      <w:r>
        <w:rPr>
          <w:rFonts w:hint="eastAsia"/>
          <w:bCs/>
          <w:color w:val="000000"/>
          <w:sz w:val="24"/>
          <w:highlight w:val="none"/>
        </w:rPr>
        <w:t>一、</w:t>
      </w:r>
      <w:r>
        <w:rPr>
          <w:bCs/>
          <w:color w:val="000000"/>
          <w:sz w:val="24"/>
          <w:highlight w:val="none"/>
        </w:rPr>
        <w:t>由_____________牵头，__________、___________参加，组成联合体共同进行采购项目的响应工作。</w:t>
      </w:r>
    </w:p>
    <w:p>
      <w:pPr>
        <w:spacing w:line="420" w:lineRule="exact"/>
        <w:ind w:firstLine="480" w:firstLineChars="200"/>
        <w:rPr>
          <w:bCs/>
          <w:color w:val="000000"/>
          <w:sz w:val="24"/>
          <w:highlight w:val="none"/>
        </w:rPr>
      </w:pPr>
      <w:r>
        <w:rPr>
          <w:rFonts w:hint="eastAsia"/>
          <w:bCs/>
          <w:color w:val="000000"/>
          <w:sz w:val="24"/>
          <w:highlight w:val="none"/>
        </w:rPr>
        <w:t>二、</w:t>
      </w:r>
      <w:r>
        <w:rPr>
          <w:bCs/>
          <w:color w:val="000000"/>
          <w:sz w:val="24"/>
          <w:highlight w:val="none"/>
        </w:rPr>
        <w:t>___________为本次响应的牵头人，联合体以牵头人的名义参加响应，联合体成交后，联合体各方共同与采购人签订合同，就采购合同约定的事项对采购人承担连带责任。</w:t>
      </w:r>
    </w:p>
    <w:p>
      <w:pPr>
        <w:spacing w:line="420" w:lineRule="exact"/>
        <w:ind w:firstLine="480" w:firstLineChars="200"/>
        <w:rPr>
          <w:bCs/>
          <w:color w:val="000000"/>
          <w:sz w:val="24"/>
          <w:highlight w:val="none"/>
        </w:rPr>
      </w:pPr>
      <w:r>
        <w:rPr>
          <w:rFonts w:hint="eastAsia"/>
          <w:bCs/>
          <w:color w:val="000000"/>
          <w:sz w:val="24"/>
          <w:highlight w:val="none"/>
        </w:rPr>
        <w:t>三、</w:t>
      </w:r>
      <w:r>
        <w:rPr>
          <w:bCs/>
          <w:color w:val="000000"/>
          <w:sz w:val="24"/>
          <w:highlight w:val="none"/>
        </w:rPr>
        <w:t>联合体各方均同意由牵头人代表其他联合体成员单位按</w:t>
      </w:r>
      <w:r>
        <w:rPr>
          <w:rFonts w:hint="eastAsia"/>
          <w:bCs/>
          <w:color w:val="000000"/>
          <w:sz w:val="24"/>
          <w:highlight w:val="none"/>
        </w:rPr>
        <w:t>谈判</w:t>
      </w:r>
      <w:r>
        <w:rPr>
          <w:bCs/>
          <w:color w:val="000000"/>
          <w:sz w:val="24"/>
          <w:highlight w:val="none"/>
        </w:rPr>
        <w:t>文件要求出具《授权委托书》。</w:t>
      </w:r>
    </w:p>
    <w:p>
      <w:pPr>
        <w:spacing w:line="420" w:lineRule="exact"/>
        <w:ind w:firstLine="480" w:firstLineChars="200"/>
        <w:rPr>
          <w:bCs/>
          <w:color w:val="000000"/>
          <w:sz w:val="24"/>
          <w:highlight w:val="none"/>
        </w:rPr>
      </w:pPr>
      <w:r>
        <w:rPr>
          <w:rFonts w:hint="eastAsia"/>
          <w:bCs/>
          <w:color w:val="000000"/>
          <w:sz w:val="24"/>
          <w:highlight w:val="none"/>
        </w:rPr>
        <w:t>四、</w:t>
      </w:r>
      <w:r>
        <w:rPr>
          <w:bCs/>
          <w:color w:val="000000"/>
          <w:sz w:val="24"/>
          <w:highlight w:val="none"/>
        </w:rPr>
        <w:t>牵头人为项目的总负责单位；组织各参加方进行项目实施工作。</w:t>
      </w:r>
    </w:p>
    <w:p>
      <w:pPr>
        <w:spacing w:line="420" w:lineRule="exact"/>
        <w:ind w:firstLine="480" w:firstLineChars="200"/>
        <w:rPr>
          <w:bCs/>
          <w:color w:val="000000"/>
          <w:sz w:val="24"/>
          <w:highlight w:val="none"/>
        </w:rPr>
      </w:pPr>
      <w:r>
        <w:rPr>
          <w:rFonts w:hint="eastAsia"/>
          <w:bCs/>
          <w:color w:val="000000"/>
          <w:sz w:val="24"/>
          <w:highlight w:val="none"/>
        </w:rPr>
        <w:t>五、</w:t>
      </w:r>
      <w:r>
        <w:rPr>
          <w:bCs/>
          <w:color w:val="000000"/>
          <w:sz w:val="24"/>
          <w:highlight w:val="none"/>
        </w:rPr>
        <w:t>___________负责_________，具体工作范围、内容以响应文件及合同为准。</w:t>
      </w:r>
    </w:p>
    <w:p>
      <w:pPr>
        <w:spacing w:line="420" w:lineRule="exact"/>
        <w:ind w:firstLine="480" w:firstLineChars="200"/>
        <w:rPr>
          <w:bCs/>
          <w:color w:val="000000"/>
          <w:sz w:val="24"/>
          <w:highlight w:val="none"/>
        </w:rPr>
      </w:pPr>
      <w:r>
        <w:rPr>
          <w:rFonts w:hint="eastAsia"/>
          <w:bCs/>
          <w:color w:val="000000"/>
          <w:sz w:val="24"/>
          <w:highlight w:val="none"/>
        </w:rPr>
        <w:t>六、</w:t>
      </w:r>
      <w:r>
        <w:rPr>
          <w:bCs/>
          <w:color w:val="000000"/>
          <w:sz w:val="24"/>
          <w:highlight w:val="none"/>
        </w:rPr>
        <w:t>___________负责_________，具体工作范围、内容以响应文件及合同为准。</w:t>
      </w:r>
    </w:p>
    <w:p>
      <w:pPr>
        <w:spacing w:line="420" w:lineRule="exact"/>
        <w:ind w:firstLine="480" w:firstLineChars="200"/>
        <w:rPr>
          <w:bCs/>
          <w:color w:val="000000"/>
          <w:sz w:val="24"/>
          <w:highlight w:val="none"/>
        </w:rPr>
      </w:pPr>
      <w:r>
        <w:rPr>
          <w:rFonts w:hint="eastAsia"/>
          <w:bCs/>
          <w:color w:val="000000"/>
          <w:sz w:val="24"/>
          <w:highlight w:val="none"/>
        </w:rPr>
        <w:t>七、</w:t>
      </w:r>
      <w:r>
        <w:rPr>
          <w:bCs/>
          <w:color w:val="000000"/>
          <w:sz w:val="24"/>
          <w:highlight w:val="none"/>
        </w:rPr>
        <w:t>___________负责_________（如有），具体工作范围、内容以响应文件及合同为准。</w:t>
      </w:r>
    </w:p>
    <w:p>
      <w:pPr>
        <w:tabs>
          <w:tab w:val="left" w:pos="993"/>
        </w:tabs>
        <w:spacing w:line="420" w:lineRule="exact"/>
        <w:ind w:firstLine="480" w:firstLineChars="200"/>
        <w:rPr>
          <w:bCs/>
          <w:color w:val="000000"/>
          <w:sz w:val="24"/>
          <w:highlight w:val="none"/>
        </w:rPr>
      </w:pPr>
      <w:r>
        <w:rPr>
          <w:rFonts w:hint="eastAsia"/>
          <w:bCs/>
          <w:color w:val="000000"/>
          <w:sz w:val="24"/>
          <w:highlight w:val="none"/>
        </w:rPr>
        <w:t>八、</w:t>
      </w:r>
      <w:r>
        <w:rPr>
          <w:bCs/>
          <w:color w:val="000000"/>
          <w:sz w:val="24"/>
          <w:highlight w:val="none"/>
        </w:rPr>
        <w:t>以联合体形式参加政府采购活动的，联合体各方不得再单独参加或者与其他供应商另外组成联合体参加同一合同项下的政府采购活动。</w:t>
      </w:r>
    </w:p>
    <w:p>
      <w:pPr>
        <w:spacing w:line="420" w:lineRule="exact"/>
        <w:ind w:firstLine="480" w:firstLineChars="200"/>
        <w:rPr>
          <w:bCs/>
          <w:color w:val="000000"/>
          <w:sz w:val="24"/>
          <w:highlight w:val="none"/>
        </w:rPr>
      </w:pPr>
      <w:r>
        <w:rPr>
          <w:rFonts w:hint="eastAsia"/>
          <w:bCs/>
          <w:color w:val="000000"/>
          <w:sz w:val="24"/>
          <w:highlight w:val="none"/>
        </w:rPr>
        <w:t>九、</w:t>
      </w:r>
      <w:r>
        <w:rPr>
          <w:bCs/>
          <w:color w:val="000000"/>
          <w:sz w:val="24"/>
          <w:highlight w:val="none"/>
        </w:rPr>
        <w:t>其他约定（如有）：______________</w:t>
      </w:r>
    </w:p>
    <w:p>
      <w:pPr>
        <w:tabs>
          <w:tab w:val="left" w:pos="780"/>
        </w:tabs>
        <w:spacing w:line="420" w:lineRule="exact"/>
        <w:ind w:firstLine="480" w:firstLineChars="200"/>
        <w:rPr>
          <w:color w:val="000000"/>
          <w:sz w:val="24"/>
          <w:highlight w:val="none"/>
        </w:rPr>
      </w:pPr>
      <w:r>
        <w:rPr>
          <w:bCs/>
          <w:color w:val="000000"/>
          <w:sz w:val="24"/>
          <w:highlight w:val="none"/>
        </w:rPr>
        <w:t>本协议自各方盖章后生效，采购合同履行完毕后自动失效。如未成交，本协议自动终止。</w:t>
      </w:r>
    </w:p>
    <w:p>
      <w:pPr>
        <w:spacing w:line="420" w:lineRule="exact"/>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：______</w:t>
      </w:r>
    </w:p>
    <w:p>
      <w:pPr>
        <w:spacing w:line="420" w:lineRule="exact"/>
        <w:ind w:firstLine="471"/>
        <w:rPr>
          <w:color w:val="000000"/>
          <w:sz w:val="24"/>
          <w:highlight w:val="none"/>
        </w:rPr>
      </w:pPr>
      <w:r>
        <w:rPr>
          <w:color w:val="000000"/>
          <w:sz w:val="24"/>
          <w:highlight w:val="none"/>
        </w:rPr>
        <w:t>盖章：______                           盖章：______</w:t>
      </w:r>
    </w:p>
    <w:p>
      <w:pPr>
        <w:spacing w:line="420" w:lineRule="exact"/>
        <w:ind w:firstLine="471"/>
        <w:rPr>
          <w:color w:val="000000"/>
          <w:sz w:val="24"/>
          <w:highlight w:val="none"/>
        </w:rPr>
      </w:pPr>
    </w:p>
    <w:p>
      <w:pPr>
        <w:spacing w:line="420" w:lineRule="exact"/>
        <w:ind w:firstLine="471"/>
        <w:rPr>
          <w:color w:val="000000"/>
          <w:sz w:val="24"/>
          <w:highlight w:val="none"/>
        </w:rPr>
      </w:pPr>
    </w:p>
    <w:p>
      <w:pPr>
        <w:spacing w:line="420" w:lineRule="exact"/>
        <w:ind w:firstLine="471"/>
        <w:rPr>
          <w:color w:val="000000"/>
          <w:sz w:val="24"/>
          <w:highlight w:val="none"/>
        </w:rPr>
      </w:pPr>
      <w:r>
        <w:rPr>
          <w:rFonts w:hint="eastAsia"/>
          <w:color w:val="000000"/>
          <w:sz w:val="24"/>
          <w:highlight w:val="none"/>
        </w:rPr>
        <w:t>联合体成员名称</w:t>
      </w:r>
      <w:r>
        <w:rPr>
          <w:color w:val="000000"/>
          <w:sz w:val="24"/>
          <w:highlight w:val="none"/>
        </w:rPr>
        <w:t>：______</w:t>
      </w:r>
    </w:p>
    <w:p>
      <w:pPr>
        <w:widowControl/>
        <w:spacing w:line="420" w:lineRule="exact"/>
        <w:ind w:firstLine="480" w:firstLineChars="200"/>
        <w:jc w:val="left"/>
        <w:rPr>
          <w:color w:val="000000"/>
          <w:sz w:val="24"/>
          <w:highlight w:val="none"/>
        </w:rPr>
      </w:pPr>
      <w:r>
        <w:rPr>
          <w:color w:val="000000"/>
          <w:sz w:val="24"/>
          <w:highlight w:val="none"/>
        </w:rPr>
        <w:t xml:space="preserve">盖章：______         </w:t>
      </w:r>
    </w:p>
    <w:p>
      <w:pPr>
        <w:spacing w:line="420" w:lineRule="exact"/>
        <w:ind w:left="480"/>
        <w:jc w:val="right"/>
        <w:rPr>
          <w:color w:val="000000"/>
          <w:sz w:val="24"/>
          <w:highlight w:val="none"/>
        </w:rPr>
      </w:pPr>
      <w:r>
        <w:rPr>
          <w:color w:val="000000"/>
          <w:sz w:val="24"/>
          <w:highlight w:val="none"/>
        </w:rPr>
        <w:t>日期：_____年______月______日</w:t>
      </w:r>
    </w:p>
    <w:p>
      <w:pPr>
        <w:tabs>
          <w:tab w:val="left" w:pos="8280"/>
        </w:tabs>
        <w:spacing w:line="420" w:lineRule="exact"/>
        <w:ind w:firstLine="480"/>
        <w:rPr>
          <w:color w:val="000000"/>
          <w:sz w:val="24"/>
          <w:highlight w:val="none"/>
        </w:rPr>
      </w:pPr>
    </w:p>
    <w:p>
      <w:pPr>
        <w:pStyle w:val="59"/>
        <w:spacing w:line="420" w:lineRule="exact"/>
        <w:jc w:val="left"/>
        <w:rPr>
          <w:rFonts w:eastAsia="宋体" w:cs="宋体"/>
          <w:b/>
          <w:bCs/>
          <w:color w:val="000000"/>
          <w:sz w:val="28"/>
          <w:szCs w:val="28"/>
          <w:highlight w:val="none"/>
        </w:rPr>
        <w:sectPr>
          <w:pgSz w:w="11907" w:h="16839"/>
          <w:pgMar w:top="1440" w:right="1803" w:bottom="1440" w:left="1803" w:header="851" w:footer="850" w:gutter="0"/>
          <w:cols w:space="720" w:num="1"/>
          <w:docGrid w:type="lines" w:linePitch="335" w:charSpace="0"/>
        </w:sectPr>
      </w:pPr>
      <w:r>
        <w:rPr>
          <w:rFonts w:hint="eastAsia" w:eastAsia="宋体" w:cs="宋体"/>
          <w:b/>
          <w:bCs/>
          <w:color w:val="000000"/>
          <w:sz w:val="24"/>
          <w:highlight w:val="none"/>
        </w:rPr>
        <w:t>注：联合体各方成员应在本协议上共同盖章，不得分别签署协议书。</w:t>
      </w:r>
    </w:p>
    <w:p>
      <w:pPr>
        <w:autoSpaceDE w:val="0"/>
        <w:autoSpaceDN w:val="0"/>
        <w:spacing w:line="520" w:lineRule="exact"/>
        <w:rPr>
          <w:rFonts w:ascii="华文仿宋" w:hAnsi="华文仿宋" w:eastAsia="华文仿宋" w:cs="华文仿宋"/>
          <w:kern w:val="0"/>
          <w:sz w:val="36"/>
          <w:szCs w:val="36"/>
          <w:highlight w:val="none"/>
        </w:rPr>
      </w:pPr>
      <w:r>
        <w:rPr>
          <w:rFonts w:hint="eastAsia" w:ascii="宋体" w:hAnsi="宋体" w:cs="宋体"/>
          <w:b/>
          <w:sz w:val="28"/>
          <w:szCs w:val="28"/>
          <w:highlight w:val="none"/>
        </w:rPr>
        <w:t>附件9：现场踏勘承诺书</w:t>
      </w:r>
    </w:p>
    <w:p>
      <w:pPr>
        <w:spacing w:line="420" w:lineRule="exact"/>
        <w:jc w:val="center"/>
        <w:rPr>
          <w:b/>
          <w:color w:val="000000"/>
          <w:sz w:val="36"/>
          <w:szCs w:val="36"/>
          <w:highlight w:val="none"/>
        </w:rPr>
      </w:pPr>
    </w:p>
    <w:p>
      <w:pPr>
        <w:spacing w:line="420" w:lineRule="exact"/>
        <w:jc w:val="center"/>
        <w:rPr>
          <w:b/>
          <w:color w:val="000000"/>
          <w:sz w:val="36"/>
          <w:szCs w:val="36"/>
          <w:highlight w:val="none"/>
        </w:rPr>
      </w:pPr>
      <w:r>
        <w:rPr>
          <w:rFonts w:hint="eastAsia"/>
          <w:b/>
          <w:color w:val="000000"/>
          <w:sz w:val="36"/>
          <w:szCs w:val="36"/>
          <w:highlight w:val="none"/>
        </w:rPr>
        <w:t>现场踏勘承诺书</w:t>
      </w:r>
    </w:p>
    <w:p>
      <w:pPr>
        <w:autoSpaceDE w:val="0"/>
        <w:autoSpaceDN w:val="0"/>
        <w:spacing w:line="520" w:lineRule="exact"/>
        <w:ind w:firstLine="484" w:firstLineChars="202"/>
        <w:rPr>
          <w:rFonts w:ascii="宋体" w:hAnsi="宋体" w:cs="宋体"/>
          <w:kern w:val="0"/>
          <w:sz w:val="24"/>
          <w:szCs w:val="24"/>
          <w:highlight w:val="none"/>
        </w:rPr>
      </w:pPr>
    </w:p>
    <w:p>
      <w:pPr>
        <w:autoSpaceDE w:val="0"/>
        <w:autoSpaceDN w:val="0"/>
        <w:spacing w:line="52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因交通科技设施</w:t>
      </w:r>
      <w:r>
        <w:rPr>
          <w:rFonts w:hint="eastAsia" w:ascii="宋体" w:hAnsi="宋体" w:cs="宋体"/>
          <w:kern w:val="0"/>
          <w:sz w:val="24"/>
          <w:szCs w:val="24"/>
          <w:highlight w:val="none"/>
        </w:rPr>
        <w:t>施工复杂</w:t>
      </w:r>
      <w:r>
        <w:rPr>
          <w:rFonts w:hint="eastAsia" w:ascii="宋体" w:hAnsi="宋体" w:cs="宋体"/>
          <w:kern w:val="0"/>
          <w:sz w:val="24"/>
          <w:szCs w:val="24"/>
          <w:highlight w:val="none"/>
        </w:rPr>
        <w:t>，本单位已对</w:t>
      </w:r>
      <w:r>
        <w:rPr>
          <w:rFonts w:hint="eastAsia" w:ascii="宋体" w:hAnsi="宋体" w:cs="宋体"/>
          <w:kern w:val="0"/>
          <w:sz w:val="24"/>
          <w:szCs w:val="24"/>
          <w:highlight w:val="none"/>
          <w:u w:val="single"/>
        </w:rPr>
        <w:t xml:space="preserve"> 怀普路（新普路-怀德中路）交通工程 </w:t>
      </w:r>
      <w:r>
        <w:rPr>
          <w:rFonts w:hint="eastAsia" w:ascii="宋体" w:hAnsi="宋体" w:cs="宋体"/>
          <w:kern w:val="0"/>
          <w:sz w:val="24"/>
          <w:szCs w:val="24"/>
          <w:highlight w:val="none"/>
        </w:rPr>
        <w:t>项目中</w:t>
      </w:r>
      <w:r>
        <w:rPr>
          <w:rFonts w:hint="eastAsia" w:ascii="宋体" w:hAnsi="宋体" w:cs="宋体"/>
          <w:kern w:val="0"/>
          <w:sz w:val="24"/>
          <w:szCs w:val="24"/>
          <w:highlight w:val="none"/>
        </w:rPr>
        <w:t>违停抓拍内容进行了现场点位踏勘</w:t>
      </w:r>
      <w:r>
        <w:rPr>
          <w:rFonts w:hint="eastAsia" w:ascii="宋体" w:hAnsi="宋体" w:cs="宋体"/>
          <w:kern w:val="0"/>
          <w:sz w:val="24"/>
          <w:szCs w:val="24"/>
          <w:highlight w:val="none"/>
        </w:rPr>
        <w:t>，并作出以下承诺：</w:t>
      </w:r>
    </w:p>
    <w:p>
      <w:pPr>
        <w:autoSpaceDE w:val="0"/>
        <w:autoSpaceDN w:val="0"/>
        <w:spacing w:line="52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1.我单位承诺照片中为本公司人员现场踏勘。踏勘照片真实有效，无伪造、修改和弄虚作假的情况。</w:t>
      </w:r>
    </w:p>
    <w:p>
      <w:pPr>
        <w:autoSpaceDE w:val="0"/>
        <w:autoSpaceDN w:val="0"/>
        <w:spacing w:line="52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2.若我单位成为成交供应商，将按照谈判文件的要求，在开标结束后三个工作日内提供相关现场勘查材料，包括点位的信息配置表、监控/抓拍区域照片（需清晰体现手持身份证的现场踏勘人员），以及现场踏勘人员为本公司人员的证明材料（身份证、开标截止前三个月的社保记录）。</w:t>
      </w:r>
    </w:p>
    <w:p>
      <w:pPr>
        <w:autoSpaceDE w:val="0"/>
        <w:autoSpaceDN w:val="0"/>
        <w:spacing w:line="52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3.若存在点位的信息配置表或监控/抓拍区域照片不全，或照片未清晰体现现场踏勘人员，或证明材料不能证明现场踏勘人员为本公司人员，及其他弄虚作假情况，本单位及法定代表人自愿接受采购人否决我单位的投标资格或中标结果，并承担法律责任，接受相应行政、刑事处罚及失信惩戒。本承诺书一经签订作为中标合同的组成部分，对我单位在与本项目投标有关的任何行为中具有法律约束力。</w:t>
      </w:r>
    </w:p>
    <w:p>
      <w:pPr>
        <w:pStyle w:val="5"/>
        <w:overflowPunct w:val="0"/>
        <w:spacing w:line="500" w:lineRule="exact"/>
        <w:ind w:left="4200" w:leftChars="2000" w:firstLine="0"/>
        <w:rPr>
          <w:rFonts w:hAnsi="宋体" w:cs="宋体"/>
          <w:color w:val="000000"/>
          <w:sz w:val="21"/>
          <w:szCs w:val="21"/>
          <w:highlight w:val="none"/>
        </w:rPr>
      </w:pPr>
      <w:r>
        <w:rPr>
          <w:rFonts w:hint="eastAsia" w:hAnsi="宋体" w:cs="宋体"/>
          <w:color w:val="000000"/>
          <w:sz w:val="21"/>
          <w:szCs w:val="21"/>
          <w:highlight w:val="none"/>
        </w:rPr>
        <w:t>供应商（公章）：</w:t>
      </w:r>
    </w:p>
    <w:p>
      <w:pPr>
        <w:pStyle w:val="5"/>
        <w:overflowPunct w:val="0"/>
        <w:spacing w:line="500" w:lineRule="exact"/>
        <w:ind w:left="4200" w:leftChars="2000" w:firstLine="0"/>
        <w:rPr>
          <w:rFonts w:hAnsi="宋体" w:cs="宋体"/>
          <w:color w:val="000000"/>
          <w:sz w:val="21"/>
          <w:szCs w:val="21"/>
          <w:highlight w:val="none"/>
        </w:rPr>
      </w:pPr>
      <w:r>
        <w:rPr>
          <w:rFonts w:hint="eastAsia" w:hAnsi="宋体" w:cs="宋体"/>
          <w:color w:val="000000"/>
          <w:sz w:val="21"/>
          <w:szCs w:val="21"/>
          <w:highlight w:val="none"/>
        </w:rPr>
        <w:t>法定代表人或代理人（签字或盖章）：</w:t>
      </w:r>
    </w:p>
    <w:p>
      <w:pPr>
        <w:pStyle w:val="5"/>
        <w:overflowPunct w:val="0"/>
        <w:spacing w:line="500" w:lineRule="exact"/>
        <w:ind w:left="4200" w:leftChars="2000" w:firstLine="0"/>
        <w:rPr>
          <w:rFonts w:hAnsi="宋体" w:cs="宋体"/>
          <w:color w:val="000000"/>
          <w:sz w:val="21"/>
          <w:szCs w:val="21"/>
          <w:highlight w:val="none"/>
        </w:rPr>
      </w:pPr>
      <w:r>
        <w:rPr>
          <w:rFonts w:hint="eastAsia" w:hAnsi="宋体" w:cs="宋体"/>
          <w:color w:val="000000"/>
          <w:sz w:val="21"/>
          <w:szCs w:val="21"/>
          <w:highlight w:val="none"/>
        </w:rPr>
        <w:t>日  期：   年     月     日</w:t>
      </w:r>
      <w:r>
        <w:rPr>
          <w:rFonts w:hint="eastAsia" w:hAnsi="宋体" w:cs="宋体"/>
          <w:color w:val="000000"/>
          <w:sz w:val="21"/>
          <w:szCs w:val="21"/>
          <w:highlight w:val="none"/>
        </w:rPr>
        <w:br w:type="textWrapping"/>
      </w:r>
    </w:p>
    <w:p>
      <w:pPr>
        <w:rPr>
          <w:rFonts w:ascii="宋体" w:hAnsi="宋体" w:cs="宋体"/>
          <w:color w:val="000000"/>
          <w:szCs w:val="21"/>
          <w:highlight w:val="none"/>
        </w:rPr>
      </w:pPr>
    </w:p>
    <w:p>
      <w:pPr>
        <w:autoSpaceDE w:val="0"/>
        <w:autoSpaceDN w:val="0"/>
        <w:spacing w:line="520" w:lineRule="exact"/>
        <w:ind w:firstLine="484" w:firstLineChars="202"/>
        <w:rPr>
          <w:rFonts w:ascii="宋体" w:hAnsi="宋体" w:cs="宋体"/>
          <w:kern w:val="0"/>
          <w:sz w:val="24"/>
          <w:szCs w:val="24"/>
          <w:highlight w:val="none"/>
        </w:rPr>
      </w:pPr>
    </w:p>
    <w:p>
      <w:pPr>
        <w:autoSpaceDE w:val="0"/>
        <w:autoSpaceDN w:val="0"/>
        <w:spacing w:line="520" w:lineRule="exact"/>
        <w:rPr>
          <w:rFonts w:ascii="宋体" w:hAnsi="宋体" w:cs="宋体"/>
          <w:kern w:val="0"/>
          <w:sz w:val="24"/>
          <w:szCs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kern w:val="0"/>
          <w:sz w:val="24"/>
          <w:szCs w:val="24"/>
          <w:highlight w:val="none"/>
        </w:rPr>
        <w:t>注：现场踏勘点位明细及照片见下表</w:t>
      </w:r>
    </w:p>
    <w:p>
      <w:pPr>
        <w:autoSpaceDE w:val="0"/>
        <w:autoSpaceDN w:val="0"/>
        <w:spacing w:line="520" w:lineRule="exact"/>
        <w:rPr>
          <w:rFonts w:ascii="宋体" w:hAnsi="宋体" w:cs="宋体"/>
          <w:b/>
          <w:sz w:val="28"/>
          <w:szCs w:val="28"/>
          <w:highlight w:val="none"/>
        </w:rPr>
      </w:pPr>
      <w:r>
        <w:rPr>
          <w:rFonts w:hint="eastAsia" w:ascii="宋体" w:hAnsi="宋体" w:cs="宋体"/>
          <w:b/>
          <w:sz w:val="28"/>
          <w:szCs w:val="28"/>
          <w:highlight w:val="none"/>
        </w:rPr>
        <w:t>现场踏勘资料样例</w:t>
      </w:r>
    </w:p>
    <w:p>
      <w:pPr>
        <w:autoSpaceDE w:val="0"/>
        <w:autoSpaceDN w:val="0"/>
        <w:spacing w:line="520" w:lineRule="exact"/>
        <w:ind w:firstLine="484" w:firstLineChars="202"/>
        <w:rPr>
          <w:rFonts w:ascii="宋体" w:hAnsi="宋体" w:cs="宋体"/>
          <w:kern w:val="0"/>
          <w:sz w:val="24"/>
          <w:szCs w:val="24"/>
          <w:highlight w:val="none"/>
          <w:lang w:val="zh-CN"/>
        </w:rPr>
      </w:pPr>
      <w:r>
        <w:rPr>
          <w:rFonts w:hint="eastAsia" w:ascii="宋体" w:hAnsi="宋体" w:cs="宋体"/>
          <w:kern w:val="0"/>
          <w:sz w:val="24"/>
          <w:szCs w:val="24"/>
          <w:highlight w:val="none"/>
        </w:rPr>
        <w:t>现场踏勘</w:t>
      </w:r>
      <w:r>
        <w:rPr>
          <w:rFonts w:hint="eastAsia" w:ascii="宋体" w:hAnsi="宋体" w:cs="宋体"/>
          <w:kern w:val="0"/>
          <w:sz w:val="24"/>
          <w:szCs w:val="24"/>
          <w:highlight w:val="none"/>
          <w:lang w:val="zh-CN"/>
        </w:rPr>
        <w:t>资料包括的内容及要求：每个建设点位须提供点位信息配置表（每个建设点位一张）、监控/抓拍区域照片（根据“建设点位清单”中“主要监控目标”要求，现场合理选择并拍摄“监控/抓拍区域照片”）。具体设计样式参考如下部分场景的样例（该点位为往年项目建设点位，因涉及个人隐私，样例照片中暂不体现手持身份证的现场踏勘人员）：</w:t>
      </w:r>
    </w:p>
    <w:p>
      <w:pPr>
        <w:autoSpaceDE w:val="0"/>
        <w:autoSpaceDN w:val="0"/>
        <w:spacing w:line="520" w:lineRule="exact"/>
        <w:rPr>
          <w:rFonts w:ascii="宋体" w:hAnsi="宋体" w:cs="宋体"/>
          <w:b/>
          <w:sz w:val="28"/>
          <w:szCs w:val="28"/>
          <w:highlight w:val="none"/>
        </w:rPr>
      </w:pPr>
      <w:r>
        <w:rPr>
          <w:rFonts w:hint="eastAsia" w:ascii="宋体" w:hAnsi="宋体" w:cs="宋体"/>
          <w:b/>
          <w:sz w:val="28"/>
          <w:szCs w:val="28"/>
          <w:highlight w:val="none"/>
        </w:rPr>
        <w:t>新建违停抓拍点位</w:t>
      </w:r>
      <w:r>
        <w:rPr>
          <w:rFonts w:hint="eastAsia" w:ascii="宋体" w:hAnsi="宋体" w:cs="宋体"/>
          <w:b/>
          <w:sz w:val="28"/>
          <w:szCs w:val="28"/>
          <w:highlight w:val="none"/>
        </w:rPr>
        <w:t>踏勘样例</w:t>
      </w:r>
    </w:p>
    <w:p>
      <w:pPr>
        <w:spacing w:line="520" w:lineRule="exact"/>
        <w:rPr>
          <w:rFonts w:ascii="宋体" w:hAnsi="宋体" w:cs="宋体"/>
          <w:sz w:val="24"/>
          <w:szCs w:val="24"/>
          <w:highlight w:val="none"/>
        </w:rPr>
      </w:pPr>
      <w:r>
        <w:rPr>
          <w:rFonts w:hint="eastAsia" w:ascii="宋体" w:hAnsi="宋体" w:cs="宋体"/>
          <w:sz w:val="24"/>
          <w:szCs w:val="24"/>
          <w:highlight w:val="none"/>
        </w:rPr>
        <w:t>1.秦岭路168号门口新建违停抓拍</w:t>
      </w:r>
    </w:p>
    <w:p>
      <w:pPr>
        <w:spacing w:line="520" w:lineRule="exact"/>
        <w:rPr>
          <w:rFonts w:ascii="宋体" w:hAnsi="宋体" w:cs="宋体"/>
          <w:sz w:val="24"/>
          <w:szCs w:val="24"/>
          <w:highlight w:val="none"/>
          <w:lang w:val="zh-CN"/>
        </w:rPr>
      </w:pPr>
      <w:r>
        <w:rPr>
          <w:rFonts w:hint="eastAsia" w:ascii="宋体" w:hAnsi="宋体" w:cs="宋体"/>
          <w:sz w:val="24"/>
          <w:szCs w:val="24"/>
          <w:highlight w:val="none"/>
        </w:rPr>
        <w:t>1.1点位信息配置表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3279"/>
        <w:gridCol w:w="1600"/>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类型</w:t>
            </w:r>
          </w:p>
        </w:tc>
        <w:tc>
          <w:tcPr>
            <w:tcW w:w="327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新建违停抓拍</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点位名称</w:t>
            </w:r>
          </w:p>
        </w:tc>
        <w:tc>
          <w:tcPr>
            <w:tcW w:w="33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秦岭路168号门口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点位编号</w:t>
            </w:r>
          </w:p>
        </w:tc>
        <w:tc>
          <w:tcPr>
            <w:tcW w:w="327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经纬度</w:t>
            </w:r>
          </w:p>
        </w:tc>
        <w:tc>
          <w:tcPr>
            <w:tcW w:w="33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N:31.834206</w:t>
            </w:r>
          </w:p>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E:119.962068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安装方式</w:t>
            </w:r>
          </w:p>
        </w:tc>
        <w:tc>
          <w:tcPr>
            <w:tcW w:w="821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H6.5L6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设备类型</w:t>
            </w:r>
          </w:p>
        </w:tc>
        <w:tc>
          <w:tcPr>
            <w:tcW w:w="3279" w:type="dxa"/>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left"/>
              <w:rPr>
                <w:rFonts w:ascii="宋体" w:hAnsi="宋体" w:cs="宋体"/>
                <w:sz w:val="24"/>
                <w:szCs w:val="24"/>
                <w:highlight w:val="none"/>
              </w:rPr>
            </w:pPr>
            <w:r>
              <w:rPr>
                <w:rFonts w:hint="eastAsia" w:ascii="宋体" w:hAnsi="宋体" w:cs="宋体"/>
                <w:sz w:val="24"/>
                <w:szCs w:val="24"/>
                <w:highlight w:val="none"/>
              </w:rPr>
              <w:t>400W高清违停抓拍球机</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通讯</w:t>
            </w:r>
          </w:p>
        </w:tc>
        <w:tc>
          <w:tcPr>
            <w:tcW w:w="3333" w:type="dxa"/>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ascii="宋体" w:hAnsi="宋体" w:cs="宋体"/>
                <w:sz w:val="24"/>
                <w:szCs w:val="24"/>
                <w:highlight w:val="none"/>
              </w:rPr>
            </w:pPr>
            <w:r>
              <w:rPr>
                <w:rFonts w:hint="eastAsia" w:ascii="宋体" w:hAnsi="宋体" w:cs="宋体"/>
                <w:sz w:val="24"/>
                <w:szCs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监控/抓拍区域</w:t>
            </w:r>
          </w:p>
        </w:tc>
        <w:tc>
          <w:tcPr>
            <w:tcW w:w="3279" w:type="dxa"/>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left"/>
              <w:rPr>
                <w:rFonts w:ascii="宋体" w:hAnsi="宋体" w:cs="宋体"/>
                <w:sz w:val="24"/>
                <w:szCs w:val="24"/>
                <w:highlight w:val="none"/>
              </w:rPr>
            </w:pPr>
            <w:r>
              <w:rPr>
                <w:rFonts w:hint="eastAsia" w:ascii="宋体" w:hAnsi="宋体" w:cs="宋体"/>
                <w:sz w:val="24"/>
                <w:szCs w:val="24"/>
                <w:highlight w:val="none"/>
              </w:rPr>
              <w:t>道路两侧禁止停车区域（图1-1）；</w:t>
            </w:r>
          </w:p>
          <w:p>
            <w:pPr>
              <w:adjustRightInd w:val="0"/>
              <w:spacing w:line="520" w:lineRule="exact"/>
              <w:jc w:val="left"/>
              <w:rPr>
                <w:rFonts w:ascii="宋体" w:hAnsi="宋体" w:cs="宋体"/>
                <w:sz w:val="24"/>
                <w:szCs w:val="24"/>
                <w:highlight w:val="none"/>
              </w:rPr>
            </w:pPr>
            <w:r>
              <w:rPr>
                <w:rFonts w:hint="eastAsia" w:ascii="宋体" w:hAnsi="宋体" w:cs="宋体"/>
                <w:sz w:val="24"/>
                <w:szCs w:val="24"/>
                <w:highlight w:val="none"/>
              </w:rPr>
              <w:t>道路两侧禁止停车区域（图1-2）；</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主要监控目标对象</w:t>
            </w:r>
          </w:p>
        </w:tc>
        <w:tc>
          <w:tcPr>
            <w:tcW w:w="3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20" w:lineRule="exact"/>
              <w:jc w:val="left"/>
              <w:rPr>
                <w:rFonts w:ascii="宋体" w:hAnsi="宋体" w:cs="宋体"/>
                <w:sz w:val="24"/>
                <w:szCs w:val="24"/>
                <w:highlight w:val="none"/>
              </w:rPr>
            </w:pPr>
            <w:r>
              <w:rPr>
                <w:rFonts w:hint="eastAsia" w:ascii="宋体" w:hAnsi="宋体" w:cs="宋体"/>
                <w:sz w:val="24"/>
                <w:szCs w:val="24"/>
                <w:highlight w:val="none"/>
              </w:rPr>
              <w:t>道路两侧禁止停车区域内违停车辆车牌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20" w:lineRule="exact"/>
              <w:jc w:val="center"/>
              <w:rPr>
                <w:rFonts w:ascii="宋体" w:hAnsi="宋体" w:cs="宋体"/>
                <w:kern w:val="0"/>
                <w:sz w:val="24"/>
                <w:szCs w:val="24"/>
                <w:highlight w:val="none"/>
              </w:rPr>
            </w:pPr>
            <w:r>
              <w:rPr>
                <w:rFonts w:hint="eastAsia" w:ascii="宋体" w:hAnsi="宋体" w:cs="宋体"/>
                <w:kern w:val="0"/>
                <w:sz w:val="24"/>
                <w:szCs w:val="24"/>
                <w:highlight w:val="none"/>
              </w:rPr>
              <w:t>注意事项</w:t>
            </w:r>
          </w:p>
        </w:tc>
        <w:tc>
          <w:tcPr>
            <w:tcW w:w="8212"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520" w:lineRule="exact"/>
              <w:jc w:val="center"/>
              <w:rPr>
                <w:rFonts w:ascii="宋体" w:hAnsi="宋体" w:cs="宋体"/>
                <w:sz w:val="24"/>
                <w:szCs w:val="24"/>
                <w:highlight w:val="none"/>
              </w:rPr>
            </w:pPr>
            <w:r>
              <w:rPr>
                <w:rFonts w:hint="eastAsia" w:ascii="宋体" w:hAnsi="宋体" w:cs="宋体"/>
                <w:sz w:val="24"/>
                <w:szCs w:val="24"/>
                <w:highlight w:val="none"/>
              </w:rPr>
              <w:t>共用2017年新北区高清视频项目通讯</w:t>
            </w:r>
          </w:p>
        </w:tc>
      </w:tr>
    </w:tbl>
    <w:p>
      <w:pPr>
        <w:widowControl/>
        <w:adjustRightInd w:val="0"/>
        <w:snapToGrid w:val="0"/>
        <w:spacing w:line="520" w:lineRule="exact"/>
        <w:rPr>
          <w:rFonts w:ascii="宋体" w:hAnsi="宋体" w:cs="宋体"/>
          <w:snapToGrid w:val="0"/>
          <w:kern w:val="28"/>
          <w:sz w:val="24"/>
          <w:szCs w:val="24"/>
          <w:highlight w:val="none"/>
        </w:rPr>
      </w:pPr>
      <w:r>
        <w:rPr>
          <w:rFonts w:hint="eastAsia" w:ascii="宋体" w:hAnsi="宋体" w:cs="宋体"/>
          <w:snapToGrid w:val="0"/>
          <w:kern w:val="28"/>
          <w:sz w:val="24"/>
          <w:szCs w:val="24"/>
          <w:highlight w:val="none"/>
        </w:rPr>
        <w:t>注：辖区、点位名称、点位编号、经纬度、安装方式、设备类型、通讯、监控/抓拍区域和主要监控目标对象依据“建设点位清单”信息进行填写，注意事项依据“建设点位清单”备注栏里的信息以及现场勘察情况进行填写。</w:t>
      </w:r>
    </w:p>
    <w:p>
      <w:pPr>
        <w:rPr>
          <w:rFonts w:ascii="宋体" w:hAnsi="宋体" w:cs="宋体"/>
          <w:sz w:val="24"/>
          <w:szCs w:val="24"/>
          <w:highlight w:val="none"/>
        </w:rPr>
        <w:sectPr>
          <w:pgSz w:w="11906" w:h="16838"/>
          <w:pgMar w:top="1440" w:right="1080" w:bottom="1440" w:left="1080" w:header="851" w:footer="851" w:gutter="0"/>
          <w:cols w:space="720" w:num="1"/>
          <w:docGrid w:linePitch="312" w:charSpace="0"/>
        </w:sectPr>
      </w:pPr>
    </w:p>
    <w:p>
      <w:pPr>
        <w:rPr>
          <w:rFonts w:ascii="宋体" w:hAnsi="宋体" w:cs="宋体"/>
          <w:sz w:val="24"/>
          <w:szCs w:val="24"/>
          <w:highlight w:val="none"/>
        </w:rPr>
      </w:pPr>
      <w:r>
        <w:rPr>
          <w:rFonts w:hint="eastAsia" w:ascii="宋体" w:hAnsi="宋体" w:cs="宋体"/>
          <w:sz w:val="24"/>
          <w:szCs w:val="24"/>
          <w:highlight w:val="none"/>
        </w:rPr>
        <w:t>1.2监控/抓拍区域照片</w:t>
      </w:r>
    </w:p>
    <w:p>
      <w:pPr>
        <w:widowControl/>
        <w:adjustRightInd w:val="0"/>
        <w:snapToGrid w:val="0"/>
        <w:spacing w:line="360" w:lineRule="auto"/>
        <w:jc w:val="center"/>
        <w:rPr>
          <w:rFonts w:ascii="宋体" w:hAnsi="宋体" w:cs="宋体"/>
          <w:snapToGrid w:val="0"/>
          <w:kern w:val="28"/>
          <w:sz w:val="24"/>
          <w:szCs w:val="24"/>
          <w:highlight w:val="none"/>
        </w:rPr>
      </w:pPr>
      <w:r>
        <w:rPr>
          <w:rFonts w:hint="eastAsia" w:ascii="宋体" w:hAnsi="宋体" w:cs="宋体"/>
          <w:kern w:val="28"/>
          <w:sz w:val="24"/>
          <w:szCs w:val="24"/>
          <w:highlight w:val="none"/>
        </w:rPr>
        <w:drawing>
          <wp:inline distT="0" distB="0" distL="0" distR="0">
            <wp:extent cx="5269230" cy="3952875"/>
            <wp:effectExtent l="0" t="0" r="7620" b="9525"/>
            <wp:docPr id="324444402" name="图片 4" descr="说明: 1.秦岭路168号门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44402" name="图片 4" descr="说明: 1.秦岭路168号门口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9230" cy="3952875"/>
                    </a:xfrm>
                    <a:prstGeom prst="rect">
                      <a:avLst/>
                    </a:prstGeom>
                    <a:noFill/>
                    <a:ln>
                      <a:noFill/>
                    </a:ln>
                  </pic:spPr>
                </pic:pic>
              </a:graphicData>
            </a:graphic>
          </wp:inline>
        </w:drawing>
      </w:r>
    </w:p>
    <w:p>
      <w:pPr>
        <w:adjustRightInd w:val="0"/>
        <w:jc w:val="center"/>
        <w:rPr>
          <w:rFonts w:ascii="宋体" w:hAnsi="宋体" w:cs="宋体"/>
          <w:sz w:val="24"/>
          <w:szCs w:val="24"/>
          <w:highlight w:val="none"/>
        </w:rPr>
      </w:pPr>
      <w:r>
        <w:rPr>
          <w:rFonts w:hint="eastAsia" w:ascii="宋体" w:hAnsi="宋体" w:cs="宋体"/>
          <w:sz w:val="24"/>
          <w:szCs w:val="24"/>
          <w:highlight w:val="none"/>
        </w:rPr>
        <w:t>图1-1  秦岭路168号门口道路两侧禁止停车区域抓拍区域</w:t>
      </w:r>
    </w:p>
    <w:p>
      <w:pPr>
        <w:adjustRightInd w:val="0"/>
        <w:jc w:val="center"/>
        <w:rPr>
          <w:rFonts w:ascii="宋体" w:hAnsi="宋体" w:cs="宋体"/>
          <w:sz w:val="24"/>
          <w:szCs w:val="24"/>
          <w:highlight w:val="none"/>
        </w:rPr>
      </w:pPr>
      <w:r>
        <w:rPr>
          <w:rFonts w:hint="eastAsia" w:ascii="宋体" w:hAnsi="宋体" w:cs="宋体"/>
          <w:sz w:val="24"/>
          <w:szCs w:val="24"/>
          <w:highlight w:val="none"/>
        </w:rPr>
        <w:drawing>
          <wp:inline distT="0" distB="0" distL="0" distR="0">
            <wp:extent cx="5274945" cy="3956685"/>
            <wp:effectExtent l="0" t="0" r="1905" b="5715"/>
            <wp:docPr id="1875304264" name="图片 3" descr="说明: 1.秦岭路168号门口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04264" name="图片 3" descr="说明: 1.秦岭路168号门口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945" cy="3956685"/>
                    </a:xfrm>
                    <a:prstGeom prst="rect">
                      <a:avLst/>
                    </a:prstGeom>
                    <a:noFill/>
                    <a:ln>
                      <a:noFill/>
                    </a:ln>
                  </pic:spPr>
                </pic:pic>
              </a:graphicData>
            </a:graphic>
          </wp:inline>
        </w:drawing>
      </w:r>
    </w:p>
    <w:p>
      <w:pPr>
        <w:adjustRightInd w:val="0"/>
        <w:jc w:val="center"/>
        <w:rPr>
          <w:rFonts w:ascii="宋体" w:hAnsi="宋体" w:cs="宋体"/>
          <w:sz w:val="24"/>
          <w:szCs w:val="24"/>
          <w:highlight w:val="none"/>
        </w:rPr>
      </w:pPr>
      <w:r>
        <w:rPr>
          <w:rFonts w:hint="eastAsia" w:ascii="宋体" w:hAnsi="宋体" w:cs="宋体"/>
          <w:sz w:val="24"/>
          <w:szCs w:val="24"/>
          <w:highlight w:val="none"/>
        </w:rPr>
        <w:t>图1-2  秦岭路168号门口道路两侧禁止停车区域抓拍区域</w:t>
      </w:r>
    </w:p>
    <w:p>
      <w:pPr>
        <w:widowControl/>
        <w:jc w:val="left"/>
        <w:rPr>
          <w:rFonts w:ascii="宋体" w:hAnsi="宋体" w:cs="宋体"/>
          <w:sz w:val="24"/>
          <w:szCs w:val="24"/>
          <w:highlight w:val="none"/>
        </w:rPr>
      </w:pPr>
    </w:p>
    <w:p>
      <w:pPr>
        <w:rPr>
          <w:rFonts w:ascii="宋体" w:hAnsi="宋体" w:cs="宋体"/>
          <w:b/>
          <w:sz w:val="28"/>
          <w:szCs w:val="28"/>
          <w:highlight w:val="none"/>
        </w:rPr>
      </w:pPr>
      <w:r>
        <w:rPr>
          <w:rFonts w:hint="eastAsia" w:ascii="宋体" w:hAnsi="宋体" w:cs="宋体"/>
          <w:b/>
          <w:sz w:val="28"/>
          <w:szCs w:val="28"/>
          <w:highlight w:val="none"/>
        </w:rPr>
        <w:t>附件9：承诺函</w:t>
      </w:r>
    </w:p>
    <w:p>
      <w:pPr>
        <w:pStyle w:val="5"/>
        <w:overflowPunct w:val="0"/>
        <w:spacing w:line="500" w:lineRule="exact"/>
        <w:jc w:val="center"/>
        <w:rPr>
          <w:rFonts w:hAnsi="宋体" w:cs="宋体"/>
          <w:b/>
          <w:color w:val="000000"/>
          <w:sz w:val="30"/>
          <w:highlight w:val="none"/>
        </w:rPr>
      </w:pPr>
      <w:bookmarkStart w:id="164" w:name="_Toc26119_WPSOffice_Level1"/>
      <w:r>
        <w:rPr>
          <w:rFonts w:hint="eastAsia" w:hAnsi="宋体" w:cs="宋体"/>
          <w:b/>
          <w:color w:val="000000"/>
          <w:sz w:val="30"/>
          <w:highlight w:val="none"/>
        </w:rPr>
        <w:t>承 诺 函</w:t>
      </w:r>
      <w:bookmarkEnd w:id="164"/>
    </w:p>
    <w:p>
      <w:pPr>
        <w:pStyle w:val="5"/>
        <w:overflowPunct w:val="0"/>
        <w:spacing w:line="500" w:lineRule="exact"/>
        <w:ind w:firstLine="0"/>
        <w:rPr>
          <w:rFonts w:hAnsi="宋体" w:cs="宋体"/>
          <w:color w:val="000000"/>
          <w:szCs w:val="24"/>
          <w:highlight w:val="none"/>
        </w:rPr>
      </w:pPr>
      <w:r>
        <w:rPr>
          <w:rFonts w:hint="eastAsia" w:hAnsi="宋体" w:cs="宋体"/>
          <w:color w:val="000000"/>
          <w:szCs w:val="24"/>
          <w:highlight w:val="none"/>
          <w:u w:val="single"/>
        </w:rPr>
        <w:t>采购人、常州青枫招标有限公司</w:t>
      </w:r>
      <w:r>
        <w:rPr>
          <w:rFonts w:hint="eastAsia" w:hAnsi="宋体" w:cs="宋体"/>
          <w:color w:val="000000"/>
          <w:szCs w:val="24"/>
          <w:highlight w:val="none"/>
        </w:rPr>
        <w:t>：</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我单位愿意参加贵公司组织实施的编号为</w:t>
      </w:r>
      <w:r>
        <w:rPr>
          <w:rFonts w:hint="eastAsia" w:hAnsi="宋体" w:cs="宋体"/>
          <w:szCs w:val="24"/>
          <w:highlight w:val="none"/>
          <w:u w:val="single"/>
        </w:rPr>
        <w:t xml:space="preserve">  （项目编号）  </w:t>
      </w:r>
      <w:r>
        <w:rPr>
          <w:rFonts w:hint="eastAsia" w:hAnsi="宋体" w:cs="宋体"/>
          <w:szCs w:val="24"/>
          <w:highlight w:val="none"/>
        </w:rPr>
        <w:t>号的采购活动。我单位承诺：</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1.我单位是依法缴纳税收和社会保障资金的，具有独立订立合同的能力；未处于被责令停业，投标资格被取消的状态；我单位没有因骗取中标或者严重违约以及发生重大工程质量、安全事故等暂停投标资格并处在暂停期内。</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2.我单位参加招标活动前三年内，在经营活动中无重大违法记录或无不良行为记录，无其他法律、行政法规规定的禁止参与招投标活动的行为。</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3.我单位知晓并遵守：单位负责人为同一人或者存在直接控股、管理关系的不同供应商，不得参加同一合同项下的招标活动。</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与我单位存在“单位负责人为同一人或者存在直接控股、管理关系”的其他单位信息如下（如无此情形的，填写“无”）：</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（1）与我单位的法定代表人（单位负责人）为同一人的其他单位如下：</w:t>
      </w:r>
      <w:r>
        <w:rPr>
          <w:rFonts w:hint="eastAsia" w:hAnsi="宋体" w:cs="宋体"/>
          <w:szCs w:val="24"/>
          <w:highlight w:val="none"/>
          <w:u w:val="single"/>
        </w:rPr>
        <w:t xml:space="preserve">   </w:t>
      </w:r>
    </w:p>
    <w:p>
      <w:pPr>
        <w:pStyle w:val="5"/>
        <w:overflowPunct w:val="0"/>
        <w:spacing w:line="480" w:lineRule="exact"/>
        <w:ind w:firstLine="480" w:firstLineChars="200"/>
        <w:rPr>
          <w:rFonts w:hAnsi="宋体" w:cs="宋体"/>
          <w:szCs w:val="24"/>
          <w:highlight w:val="none"/>
          <w:u w:val="single"/>
        </w:rPr>
      </w:pPr>
      <w:r>
        <w:rPr>
          <w:rFonts w:hint="eastAsia" w:hAnsi="宋体" w:cs="宋体"/>
          <w:szCs w:val="24"/>
          <w:highlight w:val="none"/>
        </w:rPr>
        <w:t>（2）我单位直接控股的其他单位如下：</w:t>
      </w:r>
      <w:r>
        <w:rPr>
          <w:rFonts w:hint="eastAsia" w:hAnsi="宋体" w:cs="宋体"/>
          <w:szCs w:val="24"/>
          <w:highlight w:val="none"/>
          <w:u w:val="single"/>
        </w:rPr>
        <w:t xml:space="preserve">                   </w:t>
      </w:r>
    </w:p>
    <w:p>
      <w:pPr>
        <w:pStyle w:val="5"/>
        <w:overflowPunct w:val="0"/>
        <w:spacing w:line="480" w:lineRule="exact"/>
        <w:ind w:firstLine="480" w:firstLineChars="200"/>
        <w:rPr>
          <w:rFonts w:hAnsi="宋体" w:cs="宋体"/>
          <w:szCs w:val="24"/>
          <w:highlight w:val="none"/>
          <w:u w:val="single"/>
        </w:rPr>
      </w:pPr>
      <w:r>
        <w:rPr>
          <w:rFonts w:hint="eastAsia" w:hAnsi="宋体" w:cs="宋体"/>
          <w:szCs w:val="24"/>
          <w:highlight w:val="none"/>
        </w:rPr>
        <w:t>（3）与我单位存在管理关系的其他单位如下：</w:t>
      </w:r>
      <w:r>
        <w:rPr>
          <w:rFonts w:hint="eastAsia" w:hAnsi="宋体" w:cs="宋体"/>
          <w:szCs w:val="24"/>
          <w:highlight w:val="none"/>
          <w:u w:val="single"/>
        </w:rPr>
        <w:t xml:space="preserve">              </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4.我单位知晓并遵守：拟派的项目负责人及其他人员未被列入失信被执行人名单。</w:t>
      </w:r>
    </w:p>
    <w:p>
      <w:pPr>
        <w:pStyle w:val="5"/>
        <w:overflowPunct w:val="0"/>
        <w:spacing w:line="480" w:lineRule="exact"/>
        <w:ind w:firstLine="480" w:firstLineChars="200"/>
        <w:rPr>
          <w:rFonts w:hAnsi="宋体" w:cs="宋体"/>
          <w:szCs w:val="24"/>
          <w:highlight w:val="none"/>
        </w:rPr>
      </w:pPr>
      <w:r>
        <w:rPr>
          <w:rFonts w:hint="eastAsia" w:hAnsi="宋体" w:cs="宋体"/>
          <w:szCs w:val="24"/>
          <w:highlight w:val="none"/>
        </w:rPr>
        <w:t>5.我单位提交的投标文件中所有关于投标人资格的文件、证明和陈述均是真实的、准确的。</w:t>
      </w:r>
    </w:p>
    <w:p>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我单位保证上述承诺的事项都是真实的，如有虚假，我单位愿意承担相应的法律责任，并承担因此所造成的一切损失。</w:t>
      </w:r>
    </w:p>
    <w:p>
      <w:pPr>
        <w:pStyle w:val="5"/>
        <w:overflowPunct w:val="0"/>
        <w:spacing w:line="500" w:lineRule="exact"/>
        <w:ind w:left="4200" w:leftChars="2000" w:firstLine="0"/>
        <w:rPr>
          <w:rFonts w:hAnsi="宋体" w:cs="宋体"/>
          <w:color w:val="000000"/>
          <w:szCs w:val="24"/>
          <w:highlight w:val="none"/>
        </w:rPr>
      </w:pPr>
      <w:r>
        <w:rPr>
          <w:rFonts w:hint="eastAsia" w:hAnsi="宋体" w:cs="宋体"/>
          <w:color w:val="000000"/>
          <w:szCs w:val="24"/>
          <w:highlight w:val="none"/>
        </w:rPr>
        <w:t>供应商（公章）：</w:t>
      </w:r>
    </w:p>
    <w:p>
      <w:pPr>
        <w:pStyle w:val="5"/>
        <w:overflowPunct w:val="0"/>
        <w:spacing w:line="500" w:lineRule="exact"/>
        <w:ind w:left="4200" w:leftChars="2000" w:firstLine="0"/>
        <w:rPr>
          <w:rFonts w:hAnsi="宋体" w:cs="宋体"/>
          <w:color w:val="000000"/>
          <w:szCs w:val="24"/>
          <w:highlight w:val="none"/>
        </w:rPr>
      </w:pPr>
      <w:r>
        <w:rPr>
          <w:rFonts w:hint="eastAsia" w:hAnsi="宋体" w:cs="宋体"/>
          <w:color w:val="000000"/>
          <w:szCs w:val="24"/>
          <w:highlight w:val="none"/>
        </w:rPr>
        <w:t>法定代表人或代理人（签字或盖章）：</w:t>
      </w:r>
    </w:p>
    <w:p>
      <w:pPr>
        <w:pStyle w:val="5"/>
        <w:overflowPunct w:val="0"/>
        <w:spacing w:line="500" w:lineRule="exact"/>
        <w:ind w:left="4200" w:leftChars="2000" w:firstLine="0"/>
        <w:rPr>
          <w:rFonts w:hAnsi="宋体" w:cs="宋体"/>
          <w:color w:val="000000"/>
          <w:szCs w:val="24"/>
          <w:highlight w:val="none"/>
        </w:rPr>
        <w:sectPr>
          <w:pgSz w:w="11907" w:h="16839"/>
          <w:pgMar w:top="1440" w:right="1800" w:bottom="1440" w:left="1800" w:header="851" w:footer="992" w:gutter="0"/>
          <w:pgNumType w:chapStyle="1"/>
          <w:cols w:space="720" w:num="1"/>
          <w:docGrid w:type="lines" w:linePitch="312" w:charSpace="0"/>
        </w:sectPr>
      </w:pPr>
      <w:r>
        <w:rPr>
          <w:rFonts w:hint="eastAsia" w:hAnsi="宋体" w:cs="宋体"/>
          <w:color w:val="000000"/>
          <w:szCs w:val="24"/>
          <w:highlight w:val="none"/>
        </w:rPr>
        <w:t>日  期：   年     月     日</w:t>
      </w:r>
    </w:p>
    <w:p>
      <w:pPr>
        <w:jc w:val="center"/>
        <w:outlineLvl w:val="1"/>
        <w:rPr>
          <w:rFonts w:ascii="宋体" w:hAnsi="宋体" w:cs="宋体"/>
          <w:b/>
          <w:sz w:val="32"/>
          <w:szCs w:val="32"/>
          <w:highlight w:val="none"/>
        </w:rPr>
      </w:pPr>
      <w:r>
        <w:rPr>
          <w:rFonts w:hint="eastAsia" w:ascii="宋体" w:hAnsi="宋体" w:cs="宋体"/>
          <w:b/>
          <w:sz w:val="32"/>
          <w:szCs w:val="32"/>
          <w:highlight w:val="none"/>
        </w:rPr>
        <w:t>友 情 提 醒</w:t>
      </w:r>
    </w:p>
    <w:p>
      <w:pPr>
        <w:spacing w:line="420" w:lineRule="exact"/>
        <w:rPr>
          <w:rFonts w:ascii="宋体" w:hAnsi="宋体" w:cs="宋体"/>
          <w:sz w:val="24"/>
          <w:szCs w:val="24"/>
          <w:highlight w:val="none"/>
        </w:rPr>
      </w:pPr>
      <w:r>
        <w:rPr>
          <w:rFonts w:hint="eastAsia" w:ascii="宋体" w:hAnsi="宋体" w:cs="宋体"/>
          <w:sz w:val="24"/>
          <w:szCs w:val="24"/>
          <w:highlight w:val="none"/>
        </w:rPr>
        <w:t>尊敬的供应商及项目参与人：</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为了提高贵单位的标书有效性，减少不必要的废标情况发生，特友情提醒注意以下几点：</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1、请注意谈判文件上表述的</w:t>
      </w:r>
      <w:r>
        <w:rPr>
          <w:rFonts w:hint="eastAsia" w:ascii="宋体" w:hAnsi="宋体" w:cs="宋体"/>
          <w:b/>
          <w:sz w:val="24"/>
          <w:szCs w:val="24"/>
          <w:highlight w:val="none"/>
        </w:rPr>
        <w:t>各项事宜时间节点</w:t>
      </w:r>
      <w:r>
        <w:rPr>
          <w:rFonts w:hint="eastAsia" w:ascii="宋体" w:hAnsi="宋体" w:cs="宋体"/>
          <w:sz w:val="24"/>
          <w:szCs w:val="24"/>
          <w:highlight w:val="none"/>
        </w:rPr>
        <w:t>，特别是</w:t>
      </w:r>
      <w:r>
        <w:rPr>
          <w:rFonts w:hint="eastAsia" w:ascii="宋体" w:hAnsi="宋体" w:cs="宋体"/>
          <w:b/>
          <w:sz w:val="24"/>
          <w:szCs w:val="24"/>
          <w:highlight w:val="none"/>
        </w:rPr>
        <w:t>谈判时间和地点</w:t>
      </w:r>
      <w:r>
        <w:rPr>
          <w:rFonts w:hint="eastAsia" w:ascii="宋体" w:hAnsi="宋体" w:cs="宋体"/>
          <w:sz w:val="24"/>
          <w:szCs w:val="24"/>
          <w:highlight w:val="none"/>
        </w:rPr>
        <w:t>，谈判开始后，迟到的按相关规定将一律不得进入开标室。同时涉及到投标项目的所有投标材料及相关人员均须在谈判截止时间前到达谈判现场。</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谈判保证金一定要从对公账户按谈判文件规定的方式和时间缴至指定账户并到账，拒绝以其它方式缴纳，禁止第三方代缴保证金。中标公示结束无特殊情况后，我们仅会将谈判保证金（无息）退还至您的对公账户。</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3、响应文件正副本分开</w:t>
      </w:r>
      <w:r>
        <w:rPr>
          <w:rFonts w:hint="eastAsia" w:ascii="宋体" w:hAnsi="宋体" w:cs="宋体"/>
          <w:b/>
          <w:sz w:val="24"/>
          <w:szCs w:val="24"/>
          <w:highlight w:val="none"/>
        </w:rPr>
        <w:t>密封</w:t>
      </w:r>
      <w:r>
        <w:rPr>
          <w:rFonts w:hint="eastAsia" w:ascii="宋体" w:hAnsi="宋体" w:cs="宋体"/>
          <w:sz w:val="24"/>
          <w:szCs w:val="24"/>
          <w:highlight w:val="none"/>
        </w:rPr>
        <w:t>并在封袋骑缝处加盖</w:t>
      </w:r>
      <w:r>
        <w:rPr>
          <w:rFonts w:hint="eastAsia" w:ascii="宋体" w:hAnsi="宋体" w:cs="宋体"/>
          <w:b/>
          <w:bCs/>
          <w:sz w:val="24"/>
          <w:szCs w:val="24"/>
          <w:highlight w:val="none"/>
        </w:rPr>
        <w:t>供应商</w:t>
      </w:r>
      <w:r>
        <w:rPr>
          <w:rFonts w:hint="eastAsia" w:ascii="宋体" w:hAnsi="宋体" w:cs="宋体"/>
          <w:b/>
          <w:sz w:val="24"/>
          <w:szCs w:val="24"/>
          <w:highlight w:val="none"/>
        </w:rPr>
        <w:t>公章</w:t>
      </w:r>
      <w:r>
        <w:rPr>
          <w:rFonts w:hint="eastAsia" w:ascii="宋体" w:hAnsi="宋体" w:cs="宋体"/>
          <w:sz w:val="24"/>
          <w:szCs w:val="24"/>
          <w:highlight w:val="none"/>
        </w:rPr>
        <w:t>。资格证明材料提供复印件的必须加盖</w:t>
      </w:r>
      <w:r>
        <w:rPr>
          <w:rFonts w:hint="eastAsia" w:ascii="宋体" w:hAnsi="宋体" w:cs="宋体"/>
          <w:b/>
          <w:sz w:val="24"/>
          <w:szCs w:val="24"/>
          <w:highlight w:val="none"/>
        </w:rPr>
        <w:t>公章</w:t>
      </w:r>
      <w:r>
        <w:rPr>
          <w:rFonts w:hint="eastAsia" w:ascii="宋体" w:hAnsi="宋体" w:cs="宋体"/>
          <w:sz w:val="24"/>
          <w:szCs w:val="24"/>
          <w:highlight w:val="none"/>
        </w:rPr>
        <w:t>，有要求提供原件的必须提供</w:t>
      </w:r>
      <w:r>
        <w:rPr>
          <w:rFonts w:hint="eastAsia" w:ascii="宋体" w:hAnsi="宋体" w:cs="宋体"/>
          <w:b/>
          <w:sz w:val="24"/>
          <w:szCs w:val="24"/>
          <w:highlight w:val="none"/>
        </w:rPr>
        <w:t>原件</w:t>
      </w:r>
      <w:r>
        <w:rPr>
          <w:rFonts w:hint="eastAsia" w:ascii="宋体" w:hAnsi="宋体" w:cs="宋体"/>
          <w:sz w:val="24"/>
          <w:szCs w:val="24"/>
          <w:highlight w:val="none"/>
        </w:rPr>
        <w:t>。</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4、需要提供样品的，请严格按谈判文件要求的</w:t>
      </w:r>
      <w:r>
        <w:rPr>
          <w:rFonts w:hint="eastAsia" w:ascii="宋体" w:hAnsi="宋体" w:cs="宋体"/>
          <w:b/>
          <w:sz w:val="24"/>
          <w:szCs w:val="24"/>
          <w:highlight w:val="none"/>
        </w:rPr>
        <w:t>规格、时间</w:t>
      </w:r>
      <w:r>
        <w:rPr>
          <w:rFonts w:hint="eastAsia" w:ascii="宋体" w:hAnsi="宋体" w:cs="宋体"/>
          <w:sz w:val="24"/>
          <w:szCs w:val="24"/>
          <w:highlight w:val="none"/>
        </w:rPr>
        <w:t>提供。同时注意</w:t>
      </w:r>
      <w:r>
        <w:rPr>
          <w:rFonts w:hint="eastAsia" w:ascii="宋体" w:hAnsi="宋体" w:cs="宋体"/>
          <w:b/>
          <w:sz w:val="24"/>
          <w:szCs w:val="24"/>
          <w:highlight w:val="none"/>
        </w:rPr>
        <w:t>密封、隐蔽</w:t>
      </w:r>
      <w:r>
        <w:rPr>
          <w:rFonts w:hint="eastAsia" w:ascii="宋体" w:hAnsi="宋体" w:cs="宋体"/>
          <w:sz w:val="24"/>
          <w:szCs w:val="24"/>
          <w:highlight w:val="none"/>
        </w:rPr>
        <w:t>标签等相关要求。</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5、因谈判文件文字表述有限，如项目可踏勘现场的，建议贵单位</w:t>
      </w:r>
      <w:r>
        <w:rPr>
          <w:rFonts w:hint="eastAsia" w:ascii="宋体" w:hAnsi="宋体" w:cs="宋体"/>
          <w:b/>
          <w:sz w:val="24"/>
          <w:szCs w:val="24"/>
          <w:highlight w:val="none"/>
        </w:rPr>
        <w:t>现场踏勘</w:t>
      </w:r>
      <w:r>
        <w:rPr>
          <w:rFonts w:hint="eastAsia" w:ascii="宋体" w:hAnsi="宋体" w:cs="宋体"/>
          <w:sz w:val="24"/>
          <w:szCs w:val="24"/>
          <w:highlight w:val="none"/>
        </w:rPr>
        <w:t>，可以在投标前充分了解现场环境、项目要求和质量要求等信息，为贵单位有针对性的制作响应文件积累充分的原始资料。</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6、设定</w:t>
      </w:r>
      <w:r>
        <w:rPr>
          <w:rFonts w:hint="eastAsia" w:ascii="宋体" w:hAnsi="宋体" w:cs="宋体"/>
          <w:b/>
          <w:sz w:val="24"/>
          <w:szCs w:val="24"/>
          <w:highlight w:val="none"/>
        </w:rPr>
        <w:t>最高限价</w:t>
      </w:r>
      <w:r>
        <w:rPr>
          <w:rFonts w:hint="eastAsia" w:ascii="宋体" w:hAnsi="宋体" w:cs="宋体"/>
          <w:sz w:val="24"/>
          <w:szCs w:val="24"/>
          <w:highlight w:val="none"/>
        </w:rPr>
        <w:t>的，超过限价一律视为无效响应。</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7、请仔细</w:t>
      </w:r>
      <w:r>
        <w:rPr>
          <w:rFonts w:hint="eastAsia" w:ascii="宋体" w:hAnsi="宋体" w:cs="宋体"/>
          <w:b/>
          <w:sz w:val="24"/>
          <w:szCs w:val="24"/>
          <w:highlight w:val="none"/>
        </w:rPr>
        <w:t>审阅谈判文件,特别是黑体字</w:t>
      </w:r>
      <w:r>
        <w:rPr>
          <w:rFonts w:hint="eastAsia" w:ascii="宋体" w:hAnsi="宋体" w:cs="宋体"/>
          <w:sz w:val="24"/>
          <w:szCs w:val="24"/>
          <w:highlight w:val="none"/>
        </w:rPr>
        <w:t>。如有疑问，请按谈判文件要求进行询疑。</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8、本谈判文件的最终解释权归常州青枫招标有限公司所有。</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在此我们也诚恳地希望贵单位能对我们的招标组织工作提出宝贵意见，联系电话0519-88119558、0519-88119550。</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最后祝您投标成功！</w:t>
      </w:r>
    </w:p>
    <w:p>
      <w:pPr>
        <w:widowControl/>
        <w:wordWrap w:val="0"/>
        <w:spacing w:line="560" w:lineRule="exact"/>
        <w:jc w:val="center"/>
        <w:rPr>
          <w:rFonts w:ascii="宋体" w:hAnsi="宋体" w:cs="宋体"/>
          <w:sz w:val="25"/>
          <w:szCs w:val="25"/>
          <w:highlight w:val="none"/>
        </w:rPr>
      </w:pPr>
    </w:p>
    <w:p>
      <w:pPr>
        <w:widowControl/>
        <w:wordWrap w:val="0"/>
        <w:spacing w:line="560" w:lineRule="exact"/>
        <w:jc w:val="right"/>
        <w:rPr>
          <w:rFonts w:ascii="宋体" w:hAnsi="宋体" w:cs="宋体"/>
          <w:sz w:val="25"/>
          <w:szCs w:val="25"/>
          <w:highlight w:val="none"/>
        </w:rPr>
      </w:pPr>
      <w:r>
        <w:rPr>
          <w:rFonts w:hint="eastAsia" w:ascii="宋体" w:hAnsi="宋体" w:cs="宋体"/>
          <w:sz w:val="28"/>
          <w:szCs w:val="28"/>
          <w:highlight w:val="none"/>
        </w:rPr>
        <w:t>常州青枫招标有限公司</w:t>
      </w:r>
    </w:p>
    <w:p>
      <w:pPr>
        <w:rPr>
          <w:rFonts w:ascii="宋体" w:hAnsi="宋体" w:cs="宋体"/>
          <w:b/>
          <w:sz w:val="32"/>
          <w:highlight w:val="none"/>
        </w:rPr>
      </w:pPr>
    </w:p>
    <w:p>
      <w:pPr>
        <w:jc w:val="center"/>
        <w:rPr>
          <w:rFonts w:ascii="宋体" w:hAnsi="宋体" w:cs="宋体"/>
          <w:bCs/>
          <w:sz w:val="24"/>
          <w:szCs w:val="24"/>
          <w:highlight w:val="none"/>
        </w:rPr>
      </w:pPr>
      <w:r>
        <w:rPr>
          <w:rFonts w:hint="eastAsia" w:ascii="宋体" w:hAnsi="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3435" cy="132080"/>
              <wp:effectExtent l="0" t="0" r="0" b="0"/>
              <wp:wrapNone/>
              <wp:docPr id="7" name="文本框 3094"/>
              <wp:cNvGraphicFramePr/>
              <a:graphic xmlns:a="http://schemas.openxmlformats.org/drawingml/2006/main">
                <a:graphicData uri="http://schemas.microsoft.com/office/word/2010/wordprocessingShape">
                  <wps:wsp>
                    <wps:cNvSpPr txBox="1"/>
                    <wps:spPr bwMode="auto">
                      <a:xfrm>
                        <a:off x="0" y="0"/>
                        <a:ext cx="813435" cy="132080"/>
                      </a:xfrm>
                      <a:prstGeom prst="rect">
                        <a:avLst/>
                      </a:prstGeom>
                      <a:noFill/>
                      <a:ln>
                        <a:noFill/>
                      </a:ln>
                    </wps:spPr>
                    <wps:txbx>
                      <w:txbxContent>
                        <w:p>
                          <w:pPr>
                            <w:pStyle w:val="1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4" o:spid="_x0000_s1026" o:spt="202" type="#_x0000_t202" style="position:absolute;left:0pt;margin-top:0pt;height:10.4pt;width:64.05pt;mso-position-horizontal:center;mso-position-horizontal-relative:margin;mso-wrap-style:none;z-index:251659264;mso-width-relative:page;mso-height-relative:page;" filled="f" stroked="f" coordsize="21600,21600" o:gfxdata="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t7SjRAAAABAEAAA8AAAAAAAAAAQAgAAAAIgAAAGRycy9kb3ducmV2LnhtbFBLAQIUABQAAAAI&#10;AIdO4kD9AAMz9AEAANUDAAAOAAAAAAAAAAEAIAAAACABAABkcnMvZTJvRG9jLnhtbFBLBQYAAAAA&#10;BgAGAFkBAACGBQAAAAA=&#10;">
              <v:fill on="f" focussize="0,0"/>
              <v:stroke on="f"/>
              <v:imagedata o:title=""/>
              <o:lock v:ext="edit" aspectratio="f"/>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v:textbox>
            </v:shape>
          </w:pict>
        </mc:Fallback>
      </mc:AlternateContent>
    </w:r>
  </w:p>
  <w:p>
    <w:pPr>
      <w:pStyle w:val="19"/>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64235" cy="132080"/>
              <wp:effectExtent l="0" t="0" r="0" b="0"/>
              <wp:wrapNone/>
              <wp:docPr id="6" name="文本框 3096"/>
              <wp:cNvGraphicFramePr/>
              <a:graphic xmlns:a="http://schemas.openxmlformats.org/drawingml/2006/main">
                <a:graphicData uri="http://schemas.microsoft.com/office/word/2010/wordprocessingShape">
                  <wps:wsp>
                    <wps:cNvSpPr txBox="1"/>
                    <wps:spPr bwMode="auto">
                      <a:xfrm>
                        <a:off x="0" y="0"/>
                        <a:ext cx="864235" cy="132080"/>
                      </a:xfrm>
                      <a:prstGeom prst="rect">
                        <a:avLst/>
                      </a:prstGeom>
                      <a:noFill/>
                      <a:ln>
                        <a:noFill/>
                      </a:ln>
                    </wps:spPr>
                    <wps:txbx>
                      <w:txbxContent>
                        <w:p>
                          <w:pPr>
                            <w:pStyle w:val="19"/>
                          </w:pPr>
                          <w:r>
                            <w:rPr>
                              <w:rFonts w:hint="eastAsia"/>
                            </w:rPr>
                            <w:t xml:space="preserve">第 </w:t>
                          </w:r>
                          <w:r>
                            <w:fldChar w:fldCharType="begin"/>
                          </w:r>
                          <w:r>
                            <w:instrText xml:space="preserve"> PAGE  \* MERGEFORMAT </w:instrText>
                          </w:r>
                          <w:r>
                            <w:fldChar w:fldCharType="separate"/>
                          </w:r>
                          <w:r>
                            <w:t>17</w:t>
                          </w:r>
                          <w: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6" o:spid="_x0000_s1026" o:spt="202" type="#_x0000_t202" style="position:absolute;left:0pt;margin-top:0pt;height:10.4pt;width:68.05pt;mso-position-horizontal:center;mso-position-horizontal-relative:margin;mso-wrap-style:none;z-index:251660288;mso-width-relative:page;mso-height-relative:page;" filled="f" stroked="f" coordsize="21600,21600" o:gfxdata="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pL5Q9EAAAAEAQAADwAAAAAAAAABACAAAAAiAAAAZHJzL2Rvd25yZXYueG1sUEsBAhQAFAAAAAgA&#10;h07iQPuDdi7zAQAA1QMAAA4AAAAAAAAAAQAgAAAAIAEAAGRycy9lMm9Eb2MueG1sUEsFBgAAAAAG&#10;AAYAWQEAAIUFAAAAAA==&#10;">
              <v:fill on="f" focussize="0,0"/>
              <v:stroke on="f"/>
              <v:imagedata o:title=""/>
              <o:lock v:ext="edit" aspectratio="f"/>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17</w:t>
                    </w:r>
                    <w: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v:textbox>
            </v:shape>
          </w:pict>
        </mc:Fallback>
      </mc:AlternateContent>
    </w:r>
  </w:p>
  <w:p>
    <w:pPr>
      <w:pStyle w:val="19"/>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szCs w:val="1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64235" cy="132080"/>
              <wp:effectExtent l="0" t="0" r="0" b="0"/>
              <wp:wrapNone/>
              <wp:docPr id="4" name="文本框 3097"/>
              <wp:cNvGraphicFramePr/>
              <a:graphic xmlns:a="http://schemas.openxmlformats.org/drawingml/2006/main">
                <a:graphicData uri="http://schemas.microsoft.com/office/word/2010/wordprocessingShape">
                  <wps:wsp>
                    <wps:cNvSpPr txBox="1"/>
                    <wps:spPr bwMode="auto">
                      <a:xfrm>
                        <a:off x="0" y="0"/>
                        <a:ext cx="864235" cy="132080"/>
                      </a:xfrm>
                      <a:prstGeom prst="rect">
                        <a:avLst/>
                      </a:prstGeom>
                      <a:noFill/>
                      <a:ln>
                        <a:noFill/>
                      </a:ln>
                    </wps:spPr>
                    <wps:txbx>
                      <w:txbxContent>
                        <w:p>
                          <w:pPr>
                            <w:pStyle w:val="19"/>
                          </w:pPr>
                          <w:r>
                            <w:rPr>
                              <w:rFonts w:hint="eastAsia"/>
                            </w:rPr>
                            <w:t xml:space="preserve">第 </w:t>
                          </w:r>
                          <w:r>
                            <w:fldChar w:fldCharType="begin"/>
                          </w:r>
                          <w:r>
                            <w:instrText xml:space="preserve"> PAGE  \* MERGEFORMAT </w:instrText>
                          </w:r>
                          <w:r>
                            <w:fldChar w:fldCharType="separate"/>
                          </w:r>
                          <w:r>
                            <w:t>32</w:t>
                          </w:r>
                          <w: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3097" o:spid="_x0000_s1026" o:spt="202" type="#_x0000_t202" style="position:absolute;left:0pt;margin-top:0pt;height:10.4pt;width:68.05pt;mso-position-horizontal:center;mso-position-horizontal-relative:margin;mso-wrap-style:none;z-index:251660288;mso-width-relative:page;mso-height-relative:page;" filled="f" stroked="f" coordsize="21600,21600" o:gfxdata="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S+UPRAAAABAEAAA8AAAAAAAAAAQAgAAAAIgAAAGRycy9kb3ducmV2LnhtbFBLAQIUABQAAAAI&#10;AIdO4kBL4swm9AEAANUDAAAOAAAAAAAAAAEAIAAAACABAABkcnMvZTJvRG9jLnhtbFBLBQYAAAAA&#10;BgAGAFkBAACGBQAAAAA=&#10;">
              <v:fill on="f" focussize="0,0"/>
              <v:stroke on="f"/>
              <v:imagedata o:title=""/>
              <o:lock v:ext="edit" aspectratio="f"/>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32</w:t>
                    </w:r>
                    <w:r>
                      <w:fldChar w:fldCharType="end"/>
                    </w:r>
                    <w:r>
                      <w:rPr>
                        <w:rFonts w:hint="eastAsia"/>
                      </w:rPr>
                      <w:t xml:space="preserve"> 页 共 </w:t>
                    </w:r>
                    <w:r>
                      <w:fldChar w:fldCharType="begin"/>
                    </w:r>
                    <w:r>
                      <w:instrText xml:space="preserve"> NUMPAGES  \* MERGEFORMAT </w:instrText>
                    </w:r>
                    <w:r>
                      <w:fldChar w:fldCharType="separate"/>
                    </w:r>
                    <w:r>
                      <w:t>81</w:t>
                    </w:r>
                    <w: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3YjU1NTc0MGFkOTZjNGU4ZWU5MGFjZDVkYWJmMmQifQ=="/>
  </w:docVars>
  <w:rsids>
    <w:rsidRoot w:val="00172A27"/>
    <w:rsid w:val="00027A41"/>
    <w:rsid w:val="00046E67"/>
    <w:rsid w:val="00050EF1"/>
    <w:rsid w:val="00061C88"/>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04173"/>
    <w:rsid w:val="00352E41"/>
    <w:rsid w:val="00394E86"/>
    <w:rsid w:val="003B0EF8"/>
    <w:rsid w:val="003E61A1"/>
    <w:rsid w:val="00406E5E"/>
    <w:rsid w:val="004B0A46"/>
    <w:rsid w:val="004C210D"/>
    <w:rsid w:val="004C6FAE"/>
    <w:rsid w:val="004E6A7E"/>
    <w:rsid w:val="004E797C"/>
    <w:rsid w:val="004F269C"/>
    <w:rsid w:val="0050662C"/>
    <w:rsid w:val="0051349E"/>
    <w:rsid w:val="00513A47"/>
    <w:rsid w:val="005143AA"/>
    <w:rsid w:val="00532E06"/>
    <w:rsid w:val="00541447"/>
    <w:rsid w:val="00554CBB"/>
    <w:rsid w:val="00554E8B"/>
    <w:rsid w:val="00555567"/>
    <w:rsid w:val="00567DA3"/>
    <w:rsid w:val="0057098E"/>
    <w:rsid w:val="00586B9E"/>
    <w:rsid w:val="00594F42"/>
    <w:rsid w:val="005B7432"/>
    <w:rsid w:val="005C7036"/>
    <w:rsid w:val="00627C1C"/>
    <w:rsid w:val="00630823"/>
    <w:rsid w:val="00660532"/>
    <w:rsid w:val="00674E08"/>
    <w:rsid w:val="0067534F"/>
    <w:rsid w:val="00696A4D"/>
    <w:rsid w:val="006D313B"/>
    <w:rsid w:val="00751E67"/>
    <w:rsid w:val="00793886"/>
    <w:rsid w:val="007A0900"/>
    <w:rsid w:val="007F6B00"/>
    <w:rsid w:val="00845843"/>
    <w:rsid w:val="0087515F"/>
    <w:rsid w:val="008D7566"/>
    <w:rsid w:val="008F7EE4"/>
    <w:rsid w:val="00924262"/>
    <w:rsid w:val="0094201B"/>
    <w:rsid w:val="009461C3"/>
    <w:rsid w:val="00947B8A"/>
    <w:rsid w:val="00964581"/>
    <w:rsid w:val="00994146"/>
    <w:rsid w:val="009D18A9"/>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BE25A8"/>
    <w:rsid w:val="00C00501"/>
    <w:rsid w:val="00C018EC"/>
    <w:rsid w:val="00C14B91"/>
    <w:rsid w:val="00C21162"/>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8539C"/>
    <w:rsid w:val="032C7B2D"/>
    <w:rsid w:val="033E696D"/>
    <w:rsid w:val="035856C4"/>
    <w:rsid w:val="03600692"/>
    <w:rsid w:val="03896F98"/>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D1736D"/>
    <w:rsid w:val="04E85D84"/>
    <w:rsid w:val="04EB6168"/>
    <w:rsid w:val="04F93EE6"/>
    <w:rsid w:val="04FD6796"/>
    <w:rsid w:val="05031975"/>
    <w:rsid w:val="05153567"/>
    <w:rsid w:val="051817CE"/>
    <w:rsid w:val="05257E37"/>
    <w:rsid w:val="053525C0"/>
    <w:rsid w:val="053D150D"/>
    <w:rsid w:val="05610102"/>
    <w:rsid w:val="05AE3CE2"/>
    <w:rsid w:val="05E50845"/>
    <w:rsid w:val="05E95A04"/>
    <w:rsid w:val="06103818"/>
    <w:rsid w:val="062C0CFF"/>
    <w:rsid w:val="063310CA"/>
    <w:rsid w:val="06390D82"/>
    <w:rsid w:val="065D5D87"/>
    <w:rsid w:val="066F6E3E"/>
    <w:rsid w:val="06954AF6"/>
    <w:rsid w:val="06C65BF7"/>
    <w:rsid w:val="06CF42C7"/>
    <w:rsid w:val="06D65ED9"/>
    <w:rsid w:val="06DE4AB8"/>
    <w:rsid w:val="06F85A8F"/>
    <w:rsid w:val="073D297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7370B9"/>
    <w:rsid w:val="08973C0F"/>
    <w:rsid w:val="09194649"/>
    <w:rsid w:val="09232C73"/>
    <w:rsid w:val="09292AA6"/>
    <w:rsid w:val="094A4E24"/>
    <w:rsid w:val="094D16B8"/>
    <w:rsid w:val="09622C8A"/>
    <w:rsid w:val="096737A6"/>
    <w:rsid w:val="097074E6"/>
    <w:rsid w:val="09936110"/>
    <w:rsid w:val="09994E4C"/>
    <w:rsid w:val="099C315A"/>
    <w:rsid w:val="09A370FB"/>
    <w:rsid w:val="09AC5F31"/>
    <w:rsid w:val="09E518F1"/>
    <w:rsid w:val="0A1E135A"/>
    <w:rsid w:val="0A2218A6"/>
    <w:rsid w:val="0A250002"/>
    <w:rsid w:val="0A334D52"/>
    <w:rsid w:val="0A422E3D"/>
    <w:rsid w:val="0A4610DE"/>
    <w:rsid w:val="0A4644A4"/>
    <w:rsid w:val="0A516F86"/>
    <w:rsid w:val="0A740691"/>
    <w:rsid w:val="0A7E7929"/>
    <w:rsid w:val="0A97326B"/>
    <w:rsid w:val="0A9D6B1E"/>
    <w:rsid w:val="0AA545D3"/>
    <w:rsid w:val="0ABD286D"/>
    <w:rsid w:val="0AEE5A03"/>
    <w:rsid w:val="0B150779"/>
    <w:rsid w:val="0B2F6DCA"/>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8376B0"/>
    <w:rsid w:val="0DA87245"/>
    <w:rsid w:val="0DB735A4"/>
    <w:rsid w:val="0DD105A1"/>
    <w:rsid w:val="0DEE41A4"/>
    <w:rsid w:val="0E2347B0"/>
    <w:rsid w:val="0E2F2715"/>
    <w:rsid w:val="0E382A31"/>
    <w:rsid w:val="0E3E5B6D"/>
    <w:rsid w:val="0E47192E"/>
    <w:rsid w:val="0E720208"/>
    <w:rsid w:val="0E8042DE"/>
    <w:rsid w:val="0EB43F87"/>
    <w:rsid w:val="0EEF43E1"/>
    <w:rsid w:val="0F057D42"/>
    <w:rsid w:val="0F1D4120"/>
    <w:rsid w:val="0F285443"/>
    <w:rsid w:val="0F380715"/>
    <w:rsid w:val="0F6231F8"/>
    <w:rsid w:val="0F700938"/>
    <w:rsid w:val="0FB2264C"/>
    <w:rsid w:val="0FB41C05"/>
    <w:rsid w:val="101C51BE"/>
    <w:rsid w:val="10291D6A"/>
    <w:rsid w:val="10502C0A"/>
    <w:rsid w:val="107355DB"/>
    <w:rsid w:val="10757746"/>
    <w:rsid w:val="108267DE"/>
    <w:rsid w:val="10A02A15"/>
    <w:rsid w:val="10AB756D"/>
    <w:rsid w:val="10B7526B"/>
    <w:rsid w:val="10C10D6E"/>
    <w:rsid w:val="10FF3E88"/>
    <w:rsid w:val="112A5B8F"/>
    <w:rsid w:val="114A1A65"/>
    <w:rsid w:val="11570677"/>
    <w:rsid w:val="117C7027"/>
    <w:rsid w:val="11A57F91"/>
    <w:rsid w:val="11AC63EF"/>
    <w:rsid w:val="11C97D4A"/>
    <w:rsid w:val="11EE6B20"/>
    <w:rsid w:val="11FC523F"/>
    <w:rsid w:val="120C002D"/>
    <w:rsid w:val="124D51C4"/>
    <w:rsid w:val="124F4986"/>
    <w:rsid w:val="12676EB0"/>
    <w:rsid w:val="12774AB4"/>
    <w:rsid w:val="128D10E1"/>
    <w:rsid w:val="12C11FB3"/>
    <w:rsid w:val="12EA0A43"/>
    <w:rsid w:val="131358F0"/>
    <w:rsid w:val="133024D1"/>
    <w:rsid w:val="13374963"/>
    <w:rsid w:val="13763F01"/>
    <w:rsid w:val="137B1518"/>
    <w:rsid w:val="139B36C7"/>
    <w:rsid w:val="13BB7B66"/>
    <w:rsid w:val="13C40D94"/>
    <w:rsid w:val="13C52BBC"/>
    <w:rsid w:val="13CF2C28"/>
    <w:rsid w:val="13D103D4"/>
    <w:rsid w:val="13E412FB"/>
    <w:rsid w:val="140074E9"/>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50ECA"/>
    <w:rsid w:val="1617584F"/>
    <w:rsid w:val="163051FA"/>
    <w:rsid w:val="16387FC4"/>
    <w:rsid w:val="1684489C"/>
    <w:rsid w:val="16870D46"/>
    <w:rsid w:val="168B1A72"/>
    <w:rsid w:val="16D426C5"/>
    <w:rsid w:val="16F32207"/>
    <w:rsid w:val="16F43089"/>
    <w:rsid w:val="170B4003"/>
    <w:rsid w:val="1714553B"/>
    <w:rsid w:val="172B601E"/>
    <w:rsid w:val="173409F2"/>
    <w:rsid w:val="173914CE"/>
    <w:rsid w:val="174E3C1C"/>
    <w:rsid w:val="176D73C9"/>
    <w:rsid w:val="179E0178"/>
    <w:rsid w:val="179E49B5"/>
    <w:rsid w:val="17BC6937"/>
    <w:rsid w:val="17C52D61"/>
    <w:rsid w:val="17C85CC9"/>
    <w:rsid w:val="17D905BB"/>
    <w:rsid w:val="17DF5B57"/>
    <w:rsid w:val="17EC7880"/>
    <w:rsid w:val="17F16750"/>
    <w:rsid w:val="1845486B"/>
    <w:rsid w:val="185315DA"/>
    <w:rsid w:val="18535B5D"/>
    <w:rsid w:val="185E2241"/>
    <w:rsid w:val="18812808"/>
    <w:rsid w:val="188B5D59"/>
    <w:rsid w:val="18B15973"/>
    <w:rsid w:val="18B5254D"/>
    <w:rsid w:val="18BA4BA1"/>
    <w:rsid w:val="18C30A99"/>
    <w:rsid w:val="18DF30C3"/>
    <w:rsid w:val="191069DF"/>
    <w:rsid w:val="192B67C3"/>
    <w:rsid w:val="193A6FAE"/>
    <w:rsid w:val="193F7650"/>
    <w:rsid w:val="19445242"/>
    <w:rsid w:val="19A63CB5"/>
    <w:rsid w:val="19A74DCD"/>
    <w:rsid w:val="19A82F3D"/>
    <w:rsid w:val="19BA434D"/>
    <w:rsid w:val="19C14ECE"/>
    <w:rsid w:val="19D67574"/>
    <w:rsid w:val="19E3045F"/>
    <w:rsid w:val="1A010D0D"/>
    <w:rsid w:val="1A2E1E21"/>
    <w:rsid w:val="1A4D2796"/>
    <w:rsid w:val="1A574AE4"/>
    <w:rsid w:val="1A6C2068"/>
    <w:rsid w:val="1ABF4BFF"/>
    <w:rsid w:val="1AC834A0"/>
    <w:rsid w:val="1AD145EB"/>
    <w:rsid w:val="1AF074C7"/>
    <w:rsid w:val="1B0C5964"/>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F7829"/>
    <w:rsid w:val="1E5720D7"/>
    <w:rsid w:val="1E791675"/>
    <w:rsid w:val="1E914FEE"/>
    <w:rsid w:val="1E9166E3"/>
    <w:rsid w:val="1E96363A"/>
    <w:rsid w:val="1E995462"/>
    <w:rsid w:val="1EAC6D41"/>
    <w:rsid w:val="1EAF7BC7"/>
    <w:rsid w:val="1ED5249F"/>
    <w:rsid w:val="1EDC0AAB"/>
    <w:rsid w:val="1EE01031"/>
    <w:rsid w:val="1F290A19"/>
    <w:rsid w:val="1F345E65"/>
    <w:rsid w:val="1F3D5884"/>
    <w:rsid w:val="1FBE5529"/>
    <w:rsid w:val="1FD646BA"/>
    <w:rsid w:val="1FD91AA0"/>
    <w:rsid w:val="20236E07"/>
    <w:rsid w:val="204252C7"/>
    <w:rsid w:val="20782C59"/>
    <w:rsid w:val="20796FC7"/>
    <w:rsid w:val="207C5F64"/>
    <w:rsid w:val="20823DD7"/>
    <w:rsid w:val="20B10EF0"/>
    <w:rsid w:val="20B55069"/>
    <w:rsid w:val="20D862BB"/>
    <w:rsid w:val="20DA390D"/>
    <w:rsid w:val="20E71F45"/>
    <w:rsid w:val="20F52881"/>
    <w:rsid w:val="20FC4DE8"/>
    <w:rsid w:val="210462FA"/>
    <w:rsid w:val="213E07D8"/>
    <w:rsid w:val="21565BEE"/>
    <w:rsid w:val="21664D06"/>
    <w:rsid w:val="216E7E18"/>
    <w:rsid w:val="21844572"/>
    <w:rsid w:val="21A22DBB"/>
    <w:rsid w:val="21AF5B36"/>
    <w:rsid w:val="21CC2303"/>
    <w:rsid w:val="21D97609"/>
    <w:rsid w:val="21DF442C"/>
    <w:rsid w:val="21E24502"/>
    <w:rsid w:val="22194CD0"/>
    <w:rsid w:val="22260638"/>
    <w:rsid w:val="22723AE6"/>
    <w:rsid w:val="22A16179"/>
    <w:rsid w:val="22B22D4E"/>
    <w:rsid w:val="22EC5646"/>
    <w:rsid w:val="22F37F07"/>
    <w:rsid w:val="23034E8A"/>
    <w:rsid w:val="2309093C"/>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E42EB"/>
    <w:rsid w:val="27BA6584"/>
    <w:rsid w:val="27C3795F"/>
    <w:rsid w:val="27C45118"/>
    <w:rsid w:val="27DF1C1D"/>
    <w:rsid w:val="28046877"/>
    <w:rsid w:val="28187324"/>
    <w:rsid w:val="282B4E63"/>
    <w:rsid w:val="283F3CE3"/>
    <w:rsid w:val="2856448E"/>
    <w:rsid w:val="286B0CB3"/>
    <w:rsid w:val="287303DB"/>
    <w:rsid w:val="28814C28"/>
    <w:rsid w:val="28AA5575"/>
    <w:rsid w:val="28D56B7C"/>
    <w:rsid w:val="28FB7EAD"/>
    <w:rsid w:val="294E660E"/>
    <w:rsid w:val="294F3FF8"/>
    <w:rsid w:val="29645378"/>
    <w:rsid w:val="29655843"/>
    <w:rsid w:val="296D4069"/>
    <w:rsid w:val="299C47D4"/>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97E6F"/>
    <w:rsid w:val="2CD12A87"/>
    <w:rsid w:val="2CEC6873"/>
    <w:rsid w:val="2D323DEE"/>
    <w:rsid w:val="2D37269B"/>
    <w:rsid w:val="2D485B6F"/>
    <w:rsid w:val="2D5C786C"/>
    <w:rsid w:val="2DA90D03"/>
    <w:rsid w:val="2DCB13B3"/>
    <w:rsid w:val="2DDB69E3"/>
    <w:rsid w:val="2DEB5563"/>
    <w:rsid w:val="2DF36C40"/>
    <w:rsid w:val="2E232138"/>
    <w:rsid w:val="2E46262D"/>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826457"/>
    <w:rsid w:val="308E432D"/>
    <w:rsid w:val="309537C1"/>
    <w:rsid w:val="309C7E9B"/>
    <w:rsid w:val="309E4D76"/>
    <w:rsid w:val="309F63EE"/>
    <w:rsid w:val="30B41061"/>
    <w:rsid w:val="30BC0D4E"/>
    <w:rsid w:val="311A361E"/>
    <w:rsid w:val="314172D8"/>
    <w:rsid w:val="3150172B"/>
    <w:rsid w:val="31560142"/>
    <w:rsid w:val="31642D95"/>
    <w:rsid w:val="31876865"/>
    <w:rsid w:val="31A70A96"/>
    <w:rsid w:val="31BB19AD"/>
    <w:rsid w:val="31FD7CBB"/>
    <w:rsid w:val="32002EBC"/>
    <w:rsid w:val="32007A7E"/>
    <w:rsid w:val="322477CE"/>
    <w:rsid w:val="323F0B36"/>
    <w:rsid w:val="324638DB"/>
    <w:rsid w:val="325C3C7D"/>
    <w:rsid w:val="325E5E4B"/>
    <w:rsid w:val="32617B8D"/>
    <w:rsid w:val="328F669B"/>
    <w:rsid w:val="329655CE"/>
    <w:rsid w:val="329E3A0C"/>
    <w:rsid w:val="32CD4C77"/>
    <w:rsid w:val="32F62F24"/>
    <w:rsid w:val="33092337"/>
    <w:rsid w:val="331C0B2D"/>
    <w:rsid w:val="33437504"/>
    <w:rsid w:val="33507516"/>
    <w:rsid w:val="336324D7"/>
    <w:rsid w:val="339064C2"/>
    <w:rsid w:val="33AC4A27"/>
    <w:rsid w:val="33B846C8"/>
    <w:rsid w:val="33C17C5D"/>
    <w:rsid w:val="33ED5D11"/>
    <w:rsid w:val="34100FB1"/>
    <w:rsid w:val="34207846"/>
    <w:rsid w:val="34360982"/>
    <w:rsid w:val="34407C10"/>
    <w:rsid w:val="34471173"/>
    <w:rsid w:val="34481436"/>
    <w:rsid w:val="34601141"/>
    <w:rsid w:val="34766D14"/>
    <w:rsid w:val="34796F56"/>
    <w:rsid w:val="349F10F7"/>
    <w:rsid w:val="34D37D58"/>
    <w:rsid w:val="34F71848"/>
    <w:rsid w:val="35155BCB"/>
    <w:rsid w:val="35190446"/>
    <w:rsid w:val="35250590"/>
    <w:rsid w:val="35470E02"/>
    <w:rsid w:val="356F60BD"/>
    <w:rsid w:val="359E387B"/>
    <w:rsid w:val="35A32F7C"/>
    <w:rsid w:val="35BB294B"/>
    <w:rsid w:val="35C21B3D"/>
    <w:rsid w:val="35EC4F49"/>
    <w:rsid w:val="363E1FDC"/>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C12F31"/>
    <w:rsid w:val="39D07618"/>
    <w:rsid w:val="39DA36FE"/>
    <w:rsid w:val="39DE0021"/>
    <w:rsid w:val="39EC0428"/>
    <w:rsid w:val="39F55BDC"/>
    <w:rsid w:val="3A064D0F"/>
    <w:rsid w:val="3A0A7D11"/>
    <w:rsid w:val="3A0E4FF5"/>
    <w:rsid w:val="3A17113A"/>
    <w:rsid w:val="3A2B785D"/>
    <w:rsid w:val="3A2D3456"/>
    <w:rsid w:val="3A373D6C"/>
    <w:rsid w:val="3A5D519E"/>
    <w:rsid w:val="3A747584"/>
    <w:rsid w:val="3A7F0B92"/>
    <w:rsid w:val="3AD46C94"/>
    <w:rsid w:val="3AF050B8"/>
    <w:rsid w:val="3B0B01FC"/>
    <w:rsid w:val="3B3E1535"/>
    <w:rsid w:val="3B487D2D"/>
    <w:rsid w:val="3B666953"/>
    <w:rsid w:val="3B667134"/>
    <w:rsid w:val="3B67444C"/>
    <w:rsid w:val="3B7D53B1"/>
    <w:rsid w:val="3BCE5927"/>
    <w:rsid w:val="3C4818BB"/>
    <w:rsid w:val="3C49502A"/>
    <w:rsid w:val="3C7546FF"/>
    <w:rsid w:val="3C8E5AE1"/>
    <w:rsid w:val="3C970D05"/>
    <w:rsid w:val="3CD536E2"/>
    <w:rsid w:val="3CD57FE9"/>
    <w:rsid w:val="3CEB7367"/>
    <w:rsid w:val="3D1F0F5A"/>
    <w:rsid w:val="3D376379"/>
    <w:rsid w:val="3D3B2FFA"/>
    <w:rsid w:val="3D404AB5"/>
    <w:rsid w:val="3D4778DB"/>
    <w:rsid w:val="3D736C49"/>
    <w:rsid w:val="3D892EF6"/>
    <w:rsid w:val="3DA74EF0"/>
    <w:rsid w:val="3DB31767"/>
    <w:rsid w:val="3DD66824"/>
    <w:rsid w:val="3DD8246F"/>
    <w:rsid w:val="3DF77843"/>
    <w:rsid w:val="3E157CEF"/>
    <w:rsid w:val="3E1A5340"/>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510CCD"/>
    <w:rsid w:val="40844552"/>
    <w:rsid w:val="409B52F0"/>
    <w:rsid w:val="409B6C45"/>
    <w:rsid w:val="40D224CA"/>
    <w:rsid w:val="40E06410"/>
    <w:rsid w:val="40E80CBF"/>
    <w:rsid w:val="411D4B81"/>
    <w:rsid w:val="4121600B"/>
    <w:rsid w:val="41855C15"/>
    <w:rsid w:val="4188126A"/>
    <w:rsid w:val="419A2113"/>
    <w:rsid w:val="419A27F0"/>
    <w:rsid w:val="41B950AB"/>
    <w:rsid w:val="41BA6C0F"/>
    <w:rsid w:val="41E9571B"/>
    <w:rsid w:val="41EC6FB9"/>
    <w:rsid w:val="41FE7345"/>
    <w:rsid w:val="42201451"/>
    <w:rsid w:val="423901E5"/>
    <w:rsid w:val="4245093A"/>
    <w:rsid w:val="4262062D"/>
    <w:rsid w:val="42854834"/>
    <w:rsid w:val="42AB4581"/>
    <w:rsid w:val="42CF71FC"/>
    <w:rsid w:val="43152DFB"/>
    <w:rsid w:val="43525CEF"/>
    <w:rsid w:val="43777D26"/>
    <w:rsid w:val="437F7196"/>
    <w:rsid w:val="43AE3638"/>
    <w:rsid w:val="43CA31E5"/>
    <w:rsid w:val="43E048FB"/>
    <w:rsid w:val="43E73EDC"/>
    <w:rsid w:val="44045173"/>
    <w:rsid w:val="441B4E99"/>
    <w:rsid w:val="442036C1"/>
    <w:rsid w:val="443909DA"/>
    <w:rsid w:val="44597314"/>
    <w:rsid w:val="44676717"/>
    <w:rsid w:val="44780FD8"/>
    <w:rsid w:val="4496320C"/>
    <w:rsid w:val="44A8366B"/>
    <w:rsid w:val="44A9737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D1274E"/>
    <w:rsid w:val="45DC0B8E"/>
    <w:rsid w:val="45E10B66"/>
    <w:rsid w:val="45FE3DA2"/>
    <w:rsid w:val="46211CA0"/>
    <w:rsid w:val="46375460"/>
    <w:rsid w:val="463C376E"/>
    <w:rsid w:val="46417814"/>
    <w:rsid w:val="4654337F"/>
    <w:rsid w:val="46573BB7"/>
    <w:rsid w:val="46AC3C06"/>
    <w:rsid w:val="46DF2916"/>
    <w:rsid w:val="46EF373D"/>
    <w:rsid w:val="47541888"/>
    <w:rsid w:val="479D03AF"/>
    <w:rsid w:val="47C62C54"/>
    <w:rsid w:val="48100008"/>
    <w:rsid w:val="486521D0"/>
    <w:rsid w:val="48664476"/>
    <w:rsid w:val="486A6796"/>
    <w:rsid w:val="48A62E76"/>
    <w:rsid w:val="48A9335B"/>
    <w:rsid w:val="48D13F22"/>
    <w:rsid w:val="48DC0BB6"/>
    <w:rsid w:val="48FD6822"/>
    <w:rsid w:val="4917767C"/>
    <w:rsid w:val="491D5BAC"/>
    <w:rsid w:val="493A72A3"/>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C61D6"/>
    <w:rsid w:val="4B4448DB"/>
    <w:rsid w:val="4B46166A"/>
    <w:rsid w:val="4B7A4F03"/>
    <w:rsid w:val="4B867E6B"/>
    <w:rsid w:val="4BC75C36"/>
    <w:rsid w:val="4BFE7346"/>
    <w:rsid w:val="4C015A89"/>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37431A"/>
    <w:rsid w:val="4F4168CB"/>
    <w:rsid w:val="4F437951"/>
    <w:rsid w:val="4F797E40"/>
    <w:rsid w:val="4F896705"/>
    <w:rsid w:val="4F8A6B21"/>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9C3468"/>
    <w:rsid w:val="519F6072"/>
    <w:rsid w:val="51BD002A"/>
    <w:rsid w:val="51CC1542"/>
    <w:rsid w:val="51D11D27"/>
    <w:rsid w:val="51E03679"/>
    <w:rsid w:val="52021EE1"/>
    <w:rsid w:val="520E63D9"/>
    <w:rsid w:val="52351640"/>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411759E"/>
    <w:rsid w:val="541263F1"/>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C5C67"/>
    <w:rsid w:val="563C47B7"/>
    <w:rsid w:val="56464A92"/>
    <w:rsid w:val="565C42B5"/>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8032868"/>
    <w:rsid w:val="582E3079"/>
    <w:rsid w:val="582F5E08"/>
    <w:rsid w:val="58335F64"/>
    <w:rsid w:val="583457B7"/>
    <w:rsid w:val="584D061B"/>
    <w:rsid w:val="585F09AC"/>
    <w:rsid w:val="586236D9"/>
    <w:rsid w:val="58675193"/>
    <w:rsid w:val="58692575"/>
    <w:rsid w:val="586A2202"/>
    <w:rsid w:val="586D674D"/>
    <w:rsid w:val="587F3693"/>
    <w:rsid w:val="58993AA4"/>
    <w:rsid w:val="58D740C7"/>
    <w:rsid w:val="58F52DEF"/>
    <w:rsid w:val="592916BB"/>
    <w:rsid w:val="592C06F7"/>
    <w:rsid w:val="593037D7"/>
    <w:rsid w:val="59351499"/>
    <w:rsid w:val="59413614"/>
    <w:rsid w:val="5963315C"/>
    <w:rsid w:val="59661A1C"/>
    <w:rsid w:val="59833106"/>
    <w:rsid w:val="59C16295"/>
    <w:rsid w:val="59E60B27"/>
    <w:rsid w:val="5A00764E"/>
    <w:rsid w:val="5A0C7DA1"/>
    <w:rsid w:val="5A15042A"/>
    <w:rsid w:val="5A273E7B"/>
    <w:rsid w:val="5A2B0F18"/>
    <w:rsid w:val="5A324F9B"/>
    <w:rsid w:val="5A3A5176"/>
    <w:rsid w:val="5A481E1E"/>
    <w:rsid w:val="5A547BC4"/>
    <w:rsid w:val="5A6B0450"/>
    <w:rsid w:val="5A951DC7"/>
    <w:rsid w:val="5AA55668"/>
    <w:rsid w:val="5ACE1638"/>
    <w:rsid w:val="5AFE3E53"/>
    <w:rsid w:val="5B1B3400"/>
    <w:rsid w:val="5B1C3F6F"/>
    <w:rsid w:val="5B57504B"/>
    <w:rsid w:val="5B6C544E"/>
    <w:rsid w:val="5B81129F"/>
    <w:rsid w:val="5B835B1E"/>
    <w:rsid w:val="5BBD2C5D"/>
    <w:rsid w:val="5BEB688F"/>
    <w:rsid w:val="5C060BA6"/>
    <w:rsid w:val="5C0F1059"/>
    <w:rsid w:val="5C2763AE"/>
    <w:rsid w:val="5C452F60"/>
    <w:rsid w:val="5C7E68C0"/>
    <w:rsid w:val="5C957523"/>
    <w:rsid w:val="5CB71FAC"/>
    <w:rsid w:val="5CC846CD"/>
    <w:rsid w:val="5CCC1A69"/>
    <w:rsid w:val="5CD33287"/>
    <w:rsid w:val="5D1551BE"/>
    <w:rsid w:val="5D1C55FD"/>
    <w:rsid w:val="5D2312A1"/>
    <w:rsid w:val="5D4A1ADE"/>
    <w:rsid w:val="5D5378C2"/>
    <w:rsid w:val="5D7B73F8"/>
    <w:rsid w:val="5D801813"/>
    <w:rsid w:val="5D921151"/>
    <w:rsid w:val="5DA96475"/>
    <w:rsid w:val="5DCF5EB4"/>
    <w:rsid w:val="5DDF2AFE"/>
    <w:rsid w:val="5DE47ADF"/>
    <w:rsid w:val="5DF43025"/>
    <w:rsid w:val="5DFE2262"/>
    <w:rsid w:val="5E064B6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443D72"/>
    <w:rsid w:val="604C360E"/>
    <w:rsid w:val="606070A1"/>
    <w:rsid w:val="60963062"/>
    <w:rsid w:val="609C276E"/>
    <w:rsid w:val="60BD0047"/>
    <w:rsid w:val="60BD1DF5"/>
    <w:rsid w:val="60DD6087"/>
    <w:rsid w:val="60E6741B"/>
    <w:rsid w:val="60ED620D"/>
    <w:rsid w:val="61292585"/>
    <w:rsid w:val="61386AE7"/>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8B3F86"/>
    <w:rsid w:val="65B30FCC"/>
    <w:rsid w:val="65C47781"/>
    <w:rsid w:val="65DB7521"/>
    <w:rsid w:val="65E41BD1"/>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4806C9"/>
    <w:rsid w:val="694D7A8E"/>
    <w:rsid w:val="69540AC3"/>
    <w:rsid w:val="6970074F"/>
    <w:rsid w:val="69753AD6"/>
    <w:rsid w:val="6992791F"/>
    <w:rsid w:val="69CD2EFC"/>
    <w:rsid w:val="69D430C2"/>
    <w:rsid w:val="69DB153D"/>
    <w:rsid w:val="69E623BC"/>
    <w:rsid w:val="6A2F35C4"/>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D72490"/>
    <w:rsid w:val="6CE45A82"/>
    <w:rsid w:val="6CED514E"/>
    <w:rsid w:val="6D424F6C"/>
    <w:rsid w:val="6D562AC9"/>
    <w:rsid w:val="6D6413E7"/>
    <w:rsid w:val="6DAE7EB4"/>
    <w:rsid w:val="6DBE71AC"/>
    <w:rsid w:val="6DD37101"/>
    <w:rsid w:val="6DEC0BE5"/>
    <w:rsid w:val="6DF31E10"/>
    <w:rsid w:val="6E084AD4"/>
    <w:rsid w:val="6E1A0886"/>
    <w:rsid w:val="6E1E4C2F"/>
    <w:rsid w:val="6E315BD0"/>
    <w:rsid w:val="6E544E36"/>
    <w:rsid w:val="6E560671"/>
    <w:rsid w:val="6E585E87"/>
    <w:rsid w:val="6E6E0659"/>
    <w:rsid w:val="6EC901D0"/>
    <w:rsid w:val="6ECA4A6E"/>
    <w:rsid w:val="6ECB0F0B"/>
    <w:rsid w:val="6ED17C7B"/>
    <w:rsid w:val="6EEF7C03"/>
    <w:rsid w:val="6EF25AB6"/>
    <w:rsid w:val="6F0B22B2"/>
    <w:rsid w:val="6F190B3E"/>
    <w:rsid w:val="6F42559F"/>
    <w:rsid w:val="6F46386F"/>
    <w:rsid w:val="6F8241F5"/>
    <w:rsid w:val="6FB0179B"/>
    <w:rsid w:val="6FE340D1"/>
    <w:rsid w:val="70014B4E"/>
    <w:rsid w:val="70052E70"/>
    <w:rsid w:val="7036127C"/>
    <w:rsid w:val="70604901"/>
    <w:rsid w:val="70634A3F"/>
    <w:rsid w:val="709055CD"/>
    <w:rsid w:val="70911BD8"/>
    <w:rsid w:val="70952FFF"/>
    <w:rsid w:val="70B01948"/>
    <w:rsid w:val="70E2616D"/>
    <w:rsid w:val="70F14B55"/>
    <w:rsid w:val="711A0B9D"/>
    <w:rsid w:val="71845B98"/>
    <w:rsid w:val="719473E7"/>
    <w:rsid w:val="71AF6BD1"/>
    <w:rsid w:val="71B31E3B"/>
    <w:rsid w:val="71B903B6"/>
    <w:rsid w:val="71B92E73"/>
    <w:rsid w:val="71C52E43"/>
    <w:rsid w:val="71CD43DB"/>
    <w:rsid w:val="71E27D54"/>
    <w:rsid w:val="7256284E"/>
    <w:rsid w:val="729B0095"/>
    <w:rsid w:val="729E04A0"/>
    <w:rsid w:val="72A76EB0"/>
    <w:rsid w:val="72BE75B3"/>
    <w:rsid w:val="72C46047"/>
    <w:rsid w:val="72D91C34"/>
    <w:rsid w:val="731D1478"/>
    <w:rsid w:val="7320481A"/>
    <w:rsid w:val="73370432"/>
    <w:rsid w:val="735465E8"/>
    <w:rsid w:val="735F4F8D"/>
    <w:rsid w:val="738A009D"/>
    <w:rsid w:val="739123E3"/>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C3591"/>
    <w:rsid w:val="751F49D4"/>
    <w:rsid w:val="752B08EE"/>
    <w:rsid w:val="75300F96"/>
    <w:rsid w:val="756451A0"/>
    <w:rsid w:val="756B442E"/>
    <w:rsid w:val="75930F1E"/>
    <w:rsid w:val="759332A9"/>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C2D7B"/>
    <w:rsid w:val="770E0A6A"/>
    <w:rsid w:val="772F45CE"/>
    <w:rsid w:val="773847E1"/>
    <w:rsid w:val="77530965"/>
    <w:rsid w:val="777D1E86"/>
    <w:rsid w:val="777E0E0B"/>
    <w:rsid w:val="778D32E4"/>
    <w:rsid w:val="77A315C6"/>
    <w:rsid w:val="77A970DE"/>
    <w:rsid w:val="77B155AC"/>
    <w:rsid w:val="77C33D3D"/>
    <w:rsid w:val="77E63303"/>
    <w:rsid w:val="77F42D5F"/>
    <w:rsid w:val="780B7492"/>
    <w:rsid w:val="78252599"/>
    <w:rsid w:val="782C1008"/>
    <w:rsid w:val="782D785A"/>
    <w:rsid w:val="78520C1D"/>
    <w:rsid w:val="78540E39"/>
    <w:rsid w:val="788F1E71"/>
    <w:rsid w:val="78A33907"/>
    <w:rsid w:val="78AE3A23"/>
    <w:rsid w:val="78B80825"/>
    <w:rsid w:val="78C131A8"/>
    <w:rsid w:val="78F9378E"/>
    <w:rsid w:val="79055D51"/>
    <w:rsid w:val="792D7336"/>
    <w:rsid w:val="79353C52"/>
    <w:rsid w:val="7936789A"/>
    <w:rsid w:val="793819A9"/>
    <w:rsid w:val="79573F67"/>
    <w:rsid w:val="79697C51"/>
    <w:rsid w:val="79793BDC"/>
    <w:rsid w:val="797E5DF2"/>
    <w:rsid w:val="79855CC3"/>
    <w:rsid w:val="79AF3DAA"/>
    <w:rsid w:val="79C9363A"/>
    <w:rsid w:val="7A042DB6"/>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AA78C0"/>
    <w:rsid w:val="7CB516ED"/>
    <w:rsid w:val="7CD60211"/>
    <w:rsid w:val="7CDD3AC3"/>
    <w:rsid w:val="7CFA2E9C"/>
    <w:rsid w:val="7CFE510F"/>
    <w:rsid w:val="7D13030C"/>
    <w:rsid w:val="7D133070"/>
    <w:rsid w:val="7D1477D8"/>
    <w:rsid w:val="7D260A8C"/>
    <w:rsid w:val="7D2F2685"/>
    <w:rsid w:val="7D775E4B"/>
    <w:rsid w:val="7DA11C98"/>
    <w:rsid w:val="7DAB1142"/>
    <w:rsid w:val="7DB406C0"/>
    <w:rsid w:val="7DC17A13"/>
    <w:rsid w:val="7DEE01E3"/>
    <w:rsid w:val="7E05722A"/>
    <w:rsid w:val="7E0F0A9C"/>
    <w:rsid w:val="7E1A3F8B"/>
    <w:rsid w:val="7E7E09BD"/>
    <w:rsid w:val="7E86636D"/>
    <w:rsid w:val="7EEC1987"/>
    <w:rsid w:val="7F346EB8"/>
    <w:rsid w:val="7F4D172E"/>
    <w:rsid w:val="7F585C8A"/>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52"/>
      <w:szCs w:val="24"/>
    </w:rPr>
  </w:style>
  <w:style w:type="paragraph" w:styleId="3">
    <w:name w:val="heading 2"/>
    <w:basedOn w:val="1"/>
    <w:next w:val="4"/>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7">
    <w:name w:val="heading 4"/>
    <w:basedOn w:val="1"/>
    <w:next w:val="1"/>
    <w:qFormat/>
    <w:uiPriority w:val="0"/>
    <w:pPr>
      <w:keepNext/>
      <w:keepLines/>
      <w:spacing w:before="280" w:after="290" w:line="374" w:lineRule="auto"/>
      <w:outlineLvl w:val="3"/>
    </w:pPr>
    <w:rPr>
      <w:rFonts w:hint="eastAsia" w:ascii="等线 Light" w:hAnsi="等线 Light" w:eastAsia="等线 Light"/>
      <w:b/>
      <w:bCs/>
      <w:sz w:val="28"/>
      <w:szCs w:val="28"/>
    </w:rPr>
  </w:style>
  <w:style w:type="paragraph" w:styleId="8">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sz w:val="24"/>
    </w:rPr>
  </w:style>
  <w:style w:type="paragraph" w:styleId="5">
    <w:name w:val="Normal Indent"/>
    <w:basedOn w:val="1"/>
    <w:next w:val="1"/>
    <w:link w:val="48"/>
    <w:qFormat/>
    <w:uiPriority w:val="0"/>
    <w:pPr>
      <w:autoSpaceDE w:val="0"/>
      <w:autoSpaceDN w:val="0"/>
      <w:adjustRightInd w:val="0"/>
      <w:ind w:firstLine="420"/>
    </w:pPr>
    <w:rPr>
      <w:rFonts w:ascii="宋体"/>
      <w:sz w:val="24"/>
    </w:rPr>
  </w:style>
  <w:style w:type="paragraph" w:styleId="9">
    <w:name w:val="Document Map"/>
    <w:basedOn w:val="1"/>
    <w:link w:val="53"/>
    <w:unhideWhenUsed/>
    <w:qFormat/>
    <w:uiPriority w:val="99"/>
    <w:rPr>
      <w:rFonts w:ascii="宋体"/>
      <w:sz w:val="18"/>
      <w:szCs w:val="18"/>
    </w:rPr>
  </w:style>
  <w:style w:type="paragraph" w:styleId="10">
    <w:name w:val="annotation text"/>
    <w:basedOn w:val="1"/>
    <w:link w:val="45"/>
    <w:unhideWhenUsed/>
    <w:qFormat/>
    <w:uiPriority w:val="99"/>
    <w:pPr>
      <w:jc w:val="left"/>
    </w:pPr>
  </w:style>
  <w:style w:type="paragraph" w:styleId="11">
    <w:name w:val="Body Text"/>
    <w:basedOn w:val="1"/>
    <w:next w:val="1"/>
    <w:link w:val="42"/>
    <w:qFormat/>
    <w:uiPriority w:val="0"/>
    <w:pPr>
      <w:spacing w:after="120"/>
    </w:pPr>
    <w:rPr>
      <w:szCs w:val="24"/>
    </w:rPr>
  </w:style>
  <w:style w:type="paragraph" w:styleId="12">
    <w:name w:val="Body Text Indent"/>
    <w:basedOn w:val="1"/>
    <w:next w:val="1"/>
    <w:qFormat/>
    <w:uiPriority w:val="0"/>
    <w:pPr>
      <w:spacing w:line="440" w:lineRule="exact"/>
      <w:ind w:firstLine="196" w:firstLineChars="196"/>
    </w:pPr>
    <w:rPr>
      <w:rFonts w:ascii="宋体" w:cs="Century"/>
      <w:spacing w:val="2"/>
      <w:szCs w:val="24"/>
    </w:rPr>
  </w:style>
  <w:style w:type="paragraph" w:styleId="13">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4">
    <w:name w:val="Plain Text"/>
    <w:basedOn w:val="1"/>
    <w:next w:val="15"/>
    <w:link w:val="49"/>
    <w:qFormat/>
    <w:uiPriority w:val="0"/>
    <w:rPr>
      <w:rFonts w:ascii="宋体" w:hAnsi="宋体"/>
      <w:sz w:val="26"/>
    </w:rPr>
  </w:style>
  <w:style w:type="paragraph" w:styleId="15">
    <w:name w:val="toc 4"/>
    <w:basedOn w:val="1"/>
    <w:next w:val="1"/>
    <w:qFormat/>
    <w:uiPriority w:val="0"/>
    <w:pPr>
      <w:ind w:left="1260"/>
    </w:pPr>
  </w:style>
  <w:style w:type="paragraph" w:styleId="16">
    <w:name w:val="Date"/>
    <w:basedOn w:val="1"/>
    <w:next w:val="1"/>
    <w:qFormat/>
    <w:uiPriority w:val="0"/>
    <w:rPr>
      <w:rFonts w:ascii="宋体" w:hAnsi="宋体"/>
      <w:sz w:val="24"/>
    </w:rPr>
  </w:style>
  <w:style w:type="paragraph" w:styleId="17">
    <w:name w:val="Body Text Indent 2"/>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8">
    <w:name w:val="Balloon Text"/>
    <w:basedOn w:val="1"/>
    <w:link w:val="52"/>
    <w:unhideWhenUsed/>
    <w:qFormat/>
    <w:uiPriority w:val="99"/>
    <w:rPr>
      <w:sz w:val="18"/>
      <w:szCs w:val="18"/>
    </w:rPr>
  </w:style>
  <w:style w:type="paragraph" w:styleId="19">
    <w:name w:val="footer"/>
    <w:basedOn w:val="1"/>
    <w:link w:val="41"/>
    <w:qFormat/>
    <w:uiPriority w:val="99"/>
    <w:pPr>
      <w:tabs>
        <w:tab w:val="center" w:pos="4153"/>
        <w:tab w:val="right" w:pos="8307"/>
      </w:tabs>
      <w:snapToGrid w:val="0"/>
      <w:jc w:val="left"/>
    </w:pPr>
    <w:rPr>
      <w:sz w:val="16"/>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unhideWhenUsed/>
    <w:qFormat/>
    <w:uiPriority w:val="39"/>
  </w:style>
  <w:style w:type="paragraph" w:styleId="22">
    <w:name w:val="Body Text Indent 3"/>
    <w:basedOn w:val="1"/>
    <w:unhideWhenUsed/>
    <w:qFormat/>
    <w:uiPriority w:val="99"/>
    <w:pPr>
      <w:spacing w:after="120"/>
      <w:ind w:left="420" w:leftChars="200"/>
    </w:pPr>
    <w:rPr>
      <w:rFonts w:ascii="Calibri" w:hAnsi="Calibri"/>
      <w:sz w:val="16"/>
      <w:szCs w:val="16"/>
    </w:rPr>
  </w:style>
  <w:style w:type="paragraph" w:styleId="23">
    <w:name w:val="Normal (Web)"/>
    <w:basedOn w:val="1"/>
    <w:qFormat/>
    <w:uiPriority w:val="0"/>
    <w:pPr>
      <w:spacing w:before="100" w:beforeAutospacing="1" w:after="100" w:afterAutospacing="1"/>
      <w:jc w:val="left"/>
    </w:pPr>
    <w:rPr>
      <w:rFonts w:ascii="Calibri" w:hAnsi="Calibri"/>
      <w:kern w:val="0"/>
      <w:sz w:val="24"/>
      <w:szCs w:val="24"/>
    </w:rPr>
  </w:style>
  <w:style w:type="paragraph" w:styleId="24">
    <w:name w:val="annotation subject"/>
    <w:basedOn w:val="10"/>
    <w:next w:val="10"/>
    <w:link w:val="47"/>
    <w:unhideWhenUsed/>
    <w:qFormat/>
    <w:uiPriority w:val="99"/>
    <w:rPr>
      <w:b/>
      <w:bCs/>
    </w:rPr>
  </w:style>
  <w:style w:type="paragraph" w:styleId="25">
    <w:name w:val="Body Text First Indent 2"/>
    <w:basedOn w:val="1"/>
    <w:next w:val="1"/>
    <w:qFormat/>
    <w:uiPriority w:val="0"/>
    <w:pPr>
      <w:ind w:firstLine="42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style>
  <w:style w:type="character" w:styleId="31">
    <w:name w:val="FollowedHyperlink"/>
    <w:unhideWhenUsed/>
    <w:qFormat/>
    <w:uiPriority w:val="99"/>
    <w:rPr>
      <w:color w:val="252424"/>
      <w:u w:val="none"/>
    </w:rPr>
  </w:style>
  <w:style w:type="character" w:styleId="32">
    <w:name w:val="Emphasis"/>
    <w:basedOn w:val="28"/>
    <w:qFormat/>
    <w:uiPriority w:val="1"/>
    <w:rPr>
      <w:color w:val="F73131"/>
    </w:rPr>
  </w:style>
  <w:style w:type="character" w:styleId="33">
    <w:name w:val="HTML Definition"/>
    <w:unhideWhenUsed/>
    <w:qFormat/>
    <w:uiPriority w:val="99"/>
    <w:rPr>
      <w:i/>
    </w:rPr>
  </w:style>
  <w:style w:type="character" w:styleId="34">
    <w:name w:val="Hyperlink"/>
    <w:qFormat/>
    <w:uiPriority w:val="0"/>
    <w:rPr>
      <w:color w:val="252424"/>
      <w:u w:val="none"/>
    </w:rPr>
  </w:style>
  <w:style w:type="character" w:styleId="35">
    <w:name w:val="HTML Code"/>
    <w:unhideWhenUsed/>
    <w:qFormat/>
    <w:uiPriority w:val="99"/>
    <w:rPr>
      <w:rFonts w:hint="default" w:ascii="Menlo" w:hAnsi="Menlo" w:eastAsia="Menlo" w:cs="Menlo"/>
      <w:color w:val="C7254E"/>
      <w:sz w:val="21"/>
      <w:szCs w:val="21"/>
      <w:shd w:val="clear" w:color="auto" w:fill="F9F2F4"/>
    </w:rPr>
  </w:style>
  <w:style w:type="character" w:styleId="36">
    <w:name w:val="annotation reference"/>
    <w:unhideWhenUsed/>
    <w:qFormat/>
    <w:uiPriority w:val="99"/>
    <w:rPr>
      <w:sz w:val="21"/>
      <w:szCs w:val="21"/>
    </w:rPr>
  </w:style>
  <w:style w:type="character" w:styleId="37">
    <w:name w:val="HTML Cite"/>
    <w:unhideWhenUsed/>
    <w:qFormat/>
    <w:uiPriority w:val="99"/>
  </w:style>
  <w:style w:type="character" w:styleId="38">
    <w:name w:val="HTML Keyboard"/>
    <w:unhideWhenUsed/>
    <w:qFormat/>
    <w:uiPriority w:val="99"/>
    <w:rPr>
      <w:rFonts w:hint="default" w:ascii="Menlo" w:hAnsi="Menlo" w:eastAsia="Menlo" w:cs="Menlo"/>
      <w:color w:val="FFFFFF"/>
      <w:sz w:val="21"/>
      <w:szCs w:val="21"/>
      <w:shd w:val="clear" w:color="auto" w:fill="333333"/>
    </w:rPr>
  </w:style>
  <w:style w:type="character" w:styleId="39">
    <w:name w:val="HTML Sample"/>
    <w:unhideWhenUsed/>
    <w:qFormat/>
    <w:uiPriority w:val="99"/>
    <w:rPr>
      <w:rFonts w:ascii="Menlo" w:hAnsi="Menlo" w:eastAsia="Menlo" w:cs="Menlo"/>
      <w:sz w:val="21"/>
      <w:szCs w:val="21"/>
    </w:rPr>
  </w:style>
  <w:style w:type="character" w:customStyle="1" w:styleId="40">
    <w:name w:val="font71"/>
    <w:basedOn w:val="28"/>
    <w:qFormat/>
    <w:uiPriority w:val="0"/>
    <w:rPr>
      <w:rFonts w:hint="eastAsia" w:ascii="微软雅黑" w:hAnsi="微软雅黑" w:eastAsia="微软雅黑" w:cs="微软雅黑"/>
      <w:color w:val="000000"/>
      <w:sz w:val="18"/>
      <w:szCs w:val="18"/>
      <w:u w:val="none"/>
    </w:rPr>
  </w:style>
  <w:style w:type="character" w:customStyle="1" w:styleId="41">
    <w:name w:val="页脚 字符"/>
    <w:link w:val="19"/>
    <w:qFormat/>
    <w:uiPriority w:val="99"/>
    <w:rPr>
      <w:rFonts w:ascii="Times New Roman" w:hAnsi="Times New Roman" w:eastAsia="宋体"/>
      <w:kern w:val="2"/>
      <w:sz w:val="16"/>
    </w:rPr>
  </w:style>
  <w:style w:type="character" w:customStyle="1" w:styleId="42">
    <w:name w:val="正文文本 字符"/>
    <w:link w:val="11"/>
    <w:qFormat/>
    <w:uiPriority w:val="0"/>
    <w:rPr>
      <w:kern w:val="2"/>
      <w:sz w:val="21"/>
      <w:szCs w:val="24"/>
      <w:lang w:val="en-US" w:eastAsia="zh-CN" w:bidi="ar-SA"/>
    </w:rPr>
  </w:style>
  <w:style w:type="character" w:customStyle="1" w:styleId="43">
    <w:name w:val="font11"/>
    <w:basedOn w:val="28"/>
    <w:qFormat/>
    <w:uiPriority w:val="0"/>
    <w:rPr>
      <w:rFonts w:hint="eastAsia" w:ascii="宋体" w:hAnsi="宋体" w:eastAsia="宋体" w:cs="宋体"/>
      <w:color w:val="000000"/>
      <w:sz w:val="18"/>
      <w:szCs w:val="18"/>
      <w:u w:val="none"/>
    </w:rPr>
  </w:style>
  <w:style w:type="character" w:customStyle="1" w:styleId="44">
    <w:name w:val="font131"/>
    <w:basedOn w:val="28"/>
    <w:qFormat/>
    <w:uiPriority w:val="0"/>
    <w:rPr>
      <w:rFonts w:hint="eastAsia" w:ascii="微软雅黑" w:hAnsi="微软雅黑" w:eastAsia="微软雅黑" w:cs="微软雅黑"/>
      <w:color w:val="000000"/>
      <w:sz w:val="18"/>
      <w:szCs w:val="18"/>
      <w:u w:val="none"/>
    </w:rPr>
  </w:style>
  <w:style w:type="character" w:customStyle="1" w:styleId="45">
    <w:name w:val="批注文字 字符"/>
    <w:link w:val="10"/>
    <w:qFormat/>
    <w:uiPriority w:val="99"/>
    <w:rPr>
      <w:rFonts w:eastAsia="宋体"/>
      <w:kern w:val="2"/>
      <w:sz w:val="21"/>
    </w:rPr>
  </w:style>
  <w:style w:type="character" w:customStyle="1" w:styleId="46">
    <w:name w:val="font141"/>
    <w:basedOn w:val="28"/>
    <w:qFormat/>
    <w:uiPriority w:val="0"/>
    <w:rPr>
      <w:rFonts w:hint="default" w:ascii="Wingdings 2" w:hAnsi="Wingdings 2" w:eastAsia="Wingdings 2" w:cs="Wingdings 2"/>
      <w:color w:val="000000"/>
      <w:sz w:val="18"/>
      <w:szCs w:val="18"/>
      <w:u w:val="none"/>
    </w:rPr>
  </w:style>
  <w:style w:type="character" w:customStyle="1" w:styleId="47">
    <w:name w:val="批注主题 字符"/>
    <w:link w:val="24"/>
    <w:semiHidden/>
    <w:qFormat/>
    <w:uiPriority w:val="99"/>
    <w:rPr>
      <w:rFonts w:eastAsia="宋体"/>
      <w:b/>
      <w:bCs/>
      <w:kern w:val="2"/>
      <w:sz w:val="21"/>
    </w:rPr>
  </w:style>
  <w:style w:type="character" w:customStyle="1" w:styleId="48">
    <w:name w:val="正文缩进 字符"/>
    <w:link w:val="5"/>
    <w:qFormat/>
    <w:uiPriority w:val="0"/>
    <w:rPr>
      <w:rFonts w:ascii="宋体"/>
      <w:sz w:val="24"/>
      <w:lang w:val="en-US" w:eastAsia="zh-CN" w:bidi="ar-SA"/>
    </w:rPr>
  </w:style>
  <w:style w:type="character" w:customStyle="1" w:styleId="49">
    <w:name w:val="纯文本 字符"/>
    <w:link w:val="14"/>
    <w:qFormat/>
    <w:uiPriority w:val="0"/>
    <w:rPr>
      <w:rFonts w:ascii="宋体" w:hAnsi="宋体"/>
      <w:kern w:val="2"/>
      <w:sz w:val="26"/>
      <w:lang w:val="en-US" w:eastAsia="zh-CN" w:bidi="ar-SA"/>
    </w:rPr>
  </w:style>
  <w:style w:type="character" w:customStyle="1" w:styleId="50">
    <w:name w:val="font61"/>
    <w:basedOn w:val="28"/>
    <w:qFormat/>
    <w:uiPriority w:val="0"/>
    <w:rPr>
      <w:rFonts w:hint="eastAsia" w:ascii="微软雅黑" w:hAnsi="微软雅黑" w:eastAsia="微软雅黑" w:cs="微软雅黑"/>
      <w:color w:val="000000"/>
      <w:sz w:val="18"/>
      <w:szCs w:val="18"/>
      <w:u w:val="none"/>
    </w:rPr>
  </w:style>
  <w:style w:type="character" w:customStyle="1" w:styleId="51">
    <w:name w:val="font101"/>
    <w:basedOn w:val="28"/>
    <w:qFormat/>
    <w:uiPriority w:val="0"/>
    <w:rPr>
      <w:rFonts w:hint="eastAsia" w:ascii="微软雅黑" w:hAnsi="微软雅黑" w:eastAsia="微软雅黑" w:cs="微软雅黑"/>
      <w:color w:val="000000"/>
      <w:sz w:val="18"/>
      <w:szCs w:val="18"/>
      <w:u w:val="none"/>
      <w:vertAlign w:val="superscript"/>
    </w:rPr>
  </w:style>
  <w:style w:type="character" w:customStyle="1" w:styleId="52">
    <w:name w:val="批注框文本 字符"/>
    <w:link w:val="18"/>
    <w:semiHidden/>
    <w:qFormat/>
    <w:uiPriority w:val="99"/>
    <w:rPr>
      <w:rFonts w:eastAsia="宋体"/>
      <w:kern w:val="2"/>
      <w:sz w:val="18"/>
      <w:szCs w:val="18"/>
    </w:rPr>
  </w:style>
  <w:style w:type="character" w:customStyle="1" w:styleId="53">
    <w:name w:val="文档结构图 字符"/>
    <w:link w:val="9"/>
    <w:semiHidden/>
    <w:qFormat/>
    <w:uiPriority w:val="99"/>
    <w:rPr>
      <w:rFonts w:ascii="宋体" w:eastAsia="宋体"/>
      <w:kern w:val="2"/>
      <w:sz w:val="18"/>
      <w:szCs w:val="18"/>
    </w:rPr>
  </w:style>
  <w:style w:type="character" w:customStyle="1" w:styleId="54">
    <w:name w:val="font91"/>
    <w:basedOn w:val="28"/>
    <w:qFormat/>
    <w:uiPriority w:val="0"/>
    <w:rPr>
      <w:rFonts w:hint="eastAsia" w:ascii="微软雅黑" w:hAnsi="微软雅黑" w:eastAsia="微软雅黑" w:cs="微软雅黑"/>
      <w:color w:val="FF0000"/>
      <w:sz w:val="18"/>
      <w:szCs w:val="18"/>
      <w:u w:val="none"/>
    </w:rPr>
  </w:style>
  <w:style w:type="paragraph" w:customStyle="1" w:styleId="55">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6">
    <w:name w:val="成文日期"/>
    <w:basedOn w:val="1"/>
    <w:qFormat/>
    <w:uiPriority w:val="0"/>
    <w:pPr>
      <w:ind w:right="400" w:rightChars="400"/>
      <w:jc w:val="right"/>
    </w:pPr>
  </w:style>
  <w:style w:type="paragraph" w:customStyle="1" w:styleId="57">
    <w:name w:val="Í¼¡À¡§ªÕýÎÄ"/>
    <w:basedOn w:val="1"/>
    <w:next w:val="5"/>
    <w:qFormat/>
    <w:uiPriority w:val="99"/>
    <w:pPr>
      <w:ind w:firstLine="420" w:firstLineChars="200"/>
    </w:pPr>
    <w:rPr>
      <w:sz w:val="24"/>
    </w:rPr>
  </w:style>
  <w:style w:type="paragraph" w:customStyle="1" w:styleId="58">
    <w:name w:val="表格"/>
    <w:basedOn w:val="1"/>
    <w:qFormat/>
    <w:uiPriority w:val="0"/>
    <w:pPr>
      <w:widowControl/>
    </w:pPr>
    <w:rPr>
      <w:rFonts w:ascii="宋体" w:hAnsi="宋体" w:cs="Tahoma"/>
      <w:bCs/>
      <w:kern w:val="0"/>
      <w:szCs w:val="21"/>
    </w:rPr>
  </w:style>
  <w:style w:type="paragraph" w:customStyle="1" w:styleId="59">
    <w:name w:val="纯文本11"/>
    <w:next w:val="15"/>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Table Paragraph"/>
    <w:basedOn w:val="1"/>
    <w:unhideWhenUsed/>
    <w:qFormat/>
    <w:uiPriority w:val="0"/>
    <w:rPr>
      <w:sz w:val="24"/>
    </w:rPr>
  </w:style>
  <w:style w:type="paragraph" w:customStyle="1" w:styleId="62">
    <w:name w:val="p0"/>
    <w:basedOn w:val="1"/>
    <w:qFormat/>
    <w:uiPriority w:val="0"/>
    <w:pPr>
      <w:widowControl/>
      <w:adjustRightInd w:val="0"/>
      <w:snapToGrid w:val="0"/>
      <w:spacing w:line="312" w:lineRule="atLeast"/>
      <w:textAlignment w:val="baseline"/>
    </w:pPr>
    <w:rPr>
      <w:rFonts w:ascii="宋体" w:hAnsi="宋体"/>
      <w:kern w:val="0"/>
      <w:sz w:val="24"/>
    </w:rPr>
  </w:style>
  <w:style w:type="paragraph" w:customStyle="1" w:styleId="63">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4">
    <w:name w:val="列表段落1"/>
    <w:basedOn w:val="1"/>
    <w:qFormat/>
    <w:uiPriority w:val="34"/>
    <w:pPr>
      <w:ind w:firstLine="420" w:firstLineChars="200"/>
    </w:pPr>
  </w:style>
  <w:style w:type="paragraph" w:customStyle="1" w:styleId="65">
    <w:name w:val="样式 标题 3 + (中文) 黑体 小四 非加粗 段前: 7.8 磅 段后: 0 磅 行距: 固定值 20 磅"/>
    <w:basedOn w:val="6"/>
    <w:qFormat/>
    <w:uiPriority w:val="0"/>
    <w:pPr>
      <w:spacing w:before="0" w:after="0" w:line="400" w:lineRule="exact"/>
    </w:pPr>
    <w:rPr>
      <w:rFonts w:eastAsia="黑体" w:cs="宋体"/>
      <w:b w:val="0"/>
      <w:sz w:val="24"/>
    </w:rPr>
  </w:style>
  <w:style w:type="paragraph" w:customStyle="1" w:styleId="66">
    <w:name w:val="样式 宋体 小四 行距: 固定值 22 磅"/>
    <w:basedOn w:val="1"/>
    <w:qFormat/>
    <w:uiPriority w:val="0"/>
    <w:pPr>
      <w:spacing w:line="360" w:lineRule="auto"/>
      <w:ind w:firstLine="480" w:firstLineChars="200"/>
    </w:pPr>
    <w:rPr>
      <w:rFonts w:ascii="宋体" w:hAnsi="宋体" w:cs="宋体"/>
      <w:sz w:val="24"/>
    </w:rPr>
  </w:style>
  <w:style w:type="paragraph" w:customStyle="1" w:styleId="67">
    <w:name w:val="修订1"/>
    <w:unhideWhenUsed/>
    <w:qFormat/>
    <w:uiPriority w:val="99"/>
    <w:rPr>
      <w:rFonts w:ascii="Times New Roman" w:hAnsi="Times New Roman" w:eastAsia="宋体" w:cs="Times New Roman"/>
      <w:kern w:val="2"/>
      <w:sz w:val="21"/>
      <w:lang w:val="en-US" w:eastAsia="zh-CN" w:bidi="ar-SA"/>
    </w:rPr>
  </w:style>
  <w:style w:type="paragraph" w:customStyle="1" w:styleId="68">
    <w:name w:val="纯文本1"/>
    <w:next w:val="15"/>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9">
    <w:name w:val="纯文本2"/>
    <w:next w:val="1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character" w:customStyle="1" w:styleId="71">
    <w:name w:val="font41"/>
    <w:basedOn w:val="28"/>
    <w:qFormat/>
    <w:uiPriority w:val="0"/>
    <w:rPr>
      <w:rFonts w:hint="eastAsia" w:ascii="宋体" w:hAnsi="宋体" w:eastAsia="宋体" w:cs="宋体"/>
      <w:color w:val="FF0000"/>
      <w:sz w:val="18"/>
      <w:szCs w:val="18"/>
      <w:u w:val="none"/>
    </w:rPr>
  </w:style>
  <w:style w:type="character" w:customStyle="1" w:styleId="72">
    <w:name w:val="font81"/>
    <w:basedOn w:val="28"/>
    <w:qFormat/>
    <w:uiPriority w:val="0"/>
    <w:rPr>
      <w:rFonts w:hint="eastAsia" w:ascii="宋体" w:hAnsi="宋体" w:eastAsia="宋体" w:cs="宋体"/>
      <w:color w:val="000000"/>
      <w:sz w:val="18"/>
      <w:szCs w:val="18"/>
      <w:u w:val="none"/>
    </w:rPr>
  </w:style>
  <w:style w:type="character" w:customStyle="1" w:styleId="73">
    <w:name w:val="font51"/>
    <w:basedOn w:val="28"/>
    <w:qFormat/>
    <w:uiPriority w:val="0"/>
    <w:rPr>
      <w:rFonts w:ascii="ˎ̥" w:hAnsi="ˎ̥" w:eastAsia="ˎ̥" w:cs="ˎ̥"/>
      <w:color w:val="000000"/>
      <w:sz w:val="18"/>
      <w:szCs w:val="18"/>
      <w:u w:val="none"/>
    </w:rPr>
  </w:style>
  <w:style w:type="paragraph" w:styleId="74">
    <w:name w:val="List Paragraph"/>
    <w:basedOn w:val="1"/>
    <w:qFormat/>
    <w:uiPriority w:val="1"/>
    <w:pPr>
      <w:ind w:left="1197" w:hanging="510"/>
    </w:pPr>
    <w:rPr>
      <w:rFonts w:ascii="宋体" w:hAnsi="宋体" w:cs="宋体"/>
      <w:lang w:val="zh-CN" w:bidi="zh-CN"/>
    </w:rPr>
  </w:style>
  <w:style w:type="character" w:customStyle="1" w:styleId="75">
    <w:name w:val="c-icon30"/>
    <w:basedOn w:val="28"/>
    <w:qFormat/>
    <w:uiPriority w:val="0"/>
  </w:style>
  <w:style w:type="character" w:customStyle="1" w:styleId="76">
    <w:name w:val="hover26"/>
    <w:basedOn w:val="28"/>
    <w:qFormat/>
    <w:uiPriority w:val="0"/>
  </w:style>
  <w:style w:type="character" w:customStyle="1" w:styleId="77">
    <w:name w:val="hover27"/>
    <w:basedOn w:val="28"/>
    <w:qFormat/>
    <w:uiPriority w:val="0"/>
    <w:rPr>
      <w:color w:val="315EFB"/>
    </w:rPr>
  </w:style>
  <w:style w:type="paragraph" w:customStyle="1" w:styleId="78">
    <w:name w:val="Other|1"/>
    <w:basedOn w:val="1"/>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79">
    <w:name w:val="c-icon28"/>
    <w:basedOn w:val="28"/>
    <w:qFormat/>
    <w:uiPriority w:val="0"/>
  </w:style>
  <w:style w:type="character" w:customStyle="1" w:styleId="80">
    <w:name w:val="hover24"/>
    <w:basedOn w:val="28"/>
    <w:qFormat/>
    <w:uiPriority w:val="0"/>
  </w:style>
  <w:style w:type="character" w:customStyle="1" w:styleId="81">
    <w:name w:val="hover25"/>
    <w:basedOn w:val="28"/>
    <w:qFormat/>
    <w:uiPriority w:val="0"/>
    <w:rPr>
      <w:color w:val="315EFB"/>
    </w:rPr>
  </w:style>
  <w:style w:type="character" w:customStyle="1" w:styleId="82">
    <w:name w:val="c-icon26"/>
    <w:basedOn w:val="28"/>
    <w:qFormat/>
    <w:uiPriority w:val="0"/>
  </w:style>
  <w:style w:type="paragraph" w:customStyle="1" w:styleId="83">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正文_3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80</Pages>
  <Words>43683</Words>
  <Characters>45986</Characters>
  <Lines>362</Lines>
  <Paragraphs>102</Paragraphs>
  <TotalTime>14</TotalTime>
  <ScaleCrop>false</ScaleCrop>
  <LinksUpToDate>false</LinksUpToDate>
  <CharactersWithSpaces>47999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2024-07-30T07:51:00Z</dcterms:created>
  <dc:creator>lenovo</dc:creator>
  <cp:lastModifiedBy>秋</cp:lastModifiedBy>
  <cp:lastPrinted>2024-07-30T07:50:00Z</cp:lastPrinted>
  <dcterms:modified xsi:type="dcterms:W3CDTF">2024-08-07T02:39:10Z</dcterms:modified>
  <dc:title>常 州 大 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CA79B12E18364B56BC624C626C706DB2</vt:lpwstr>
  </property>
</Properties>
</file>