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10FA3">
      <w:pPr>
        <w:rPr>
          <w:rFonts w:hint="eastAsia" w:ascii="宋体" w:hAnsi="宋体" w:eastAsia="宋体" w:cs="宋体"/>
          <w:sz w:val="44"/>
          <w:szCs w:val="44"/>
          <w:highlight w:val="none"/>
        </w:rPr>
      </w:pPr>
      <w:r>
        <w:rPr>
          <w:rFonts w:hint="eastAsia" w:ascii="宋体" w:hAnsi="宋体" w:eastAsia="宋体" w:cs="宋体"/>
          <w:sz w:val="44"/>
          <w:szCs w:val="44"/>
          <w:highlight w:val="none"/>
        </w:rPr>
        <w:drawing>
          <wp:inline distT="0" distB="0" distL="0" distR="0">
            <wp:extent cx="940435" cy="940435"/>
            <wp:effectExtent l="0" t="0" r="0" b="0"/>
            <wp:docPr id="1" name="图片 5" descr="边长8cm"/>
            <wp:cNvGraphicFramePr/>
            <a:graphic xmlns:a="http://schemas.openxmlformats.org/drawingml/2006/main">
              <a:graphicData uri="http://schemas.openxmlformats.org/drawingml/2006/picture">
                <pic:pic xmlns:pic="http://schemas.openxmlformats.org/drawingml/2006/picture">
                  <pic:nvPicPr>
                    <pic:cNvPr id="1" name="图片 5" descr="边长8cm"/>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40435" cy="940435"/>
                    </a:xfrm>
                    <a:prstGeom prst="rect">
                      <a:avLst/>
                    </a:prstGeom>
                    <a:noFill/>
                    <a:ln>
                      <a:noFill/>
                    </a:ln>
                    <a:effectLst/>
                  </pic:spPr>
                </pic:pic>
              </a:graphicData>
            </a:graphic>
          </wp:inline>
        </w:drawing>
      </w:r>
    </w:p>
    <w:p w14:paraId="0D7F70DC">
      <w:pPr>
        <w:rPr>
          <w:rFonts w:hint="eastAsia" w:ascii="宋体" w:hAnsi="宋体" w:eastAsia="宋体" w:cs="宋体"/>
          <w:sz w:val="52"/>
          <w:szCs w:val="52"/>
          <w:highlight w:val="none"/>
        </w:rPr>
      </w:pPr>
    </w:p>
    <w:p w14:paraId="74A5D783">
      <w:pPr>
        <w:spacing w:line="680" w:lineRule="exact"/>
        <w:jc w:val="center"/>
        <w:rPr>
          <w:rFonts w:hint="eastAsia" w:ascii="宋体" w:hAnsi="宋体" w:eastAsia="宋体" w:cs="宋体"/>
          <w:b/>
          <w:bCs/>
          <w:sz w:val="52"/>
          <w:szCs w:val="52"/>
          <w:highlight w:val="none"/>
        </w:rPr>
      </w:pPr>
    </w:p>
    <w:p w14:paraId="637BACE2">
      <w:pPr>
        <w:pStyle w:val="26"/>
        <w:rPr>
          <w:rFonts w:hint="eastAsia" w:ascii="宋体" w:hAnsi="宋体" w:eastAsia="宋体" w:cs="宋体"/>
          <w:highlight w:val="none"/>
        </w:rPr>
      </w:pPr>
    </w:p>
    <w:p w14:paraId="1097C70B">
      <w:pPr>
        <w:spacing w:line="360" w:lineRule="auto"/>
        <w:jc w:val="center"/>
        <w:rPr>
          <w:rFonts w:hint="eastAsia" w:ascii="宋体" w:hAnsi="宋体" w:eastAsia="宋体" w:cs="宋体"/>
          <w:b/>
          <w:bCs/>
          <w:w w:val="92"/>
          <w:sz w:val="72"/>
          <w:szCs w:val="72"/>
          <w:highlight w:val="none"/>
        </w:rPr>
      </w:pPr>
      <w:r>
        <w:rPr>
          <w:rFonts w:hint="eastAsia" w:ascii="宋体" w:hAnsi="宋体" w:eastAsia="宋体" w:cs="宋体"/>
          <w:b/>
          <w:bCs/>
          <w:w w:val="92"/>
          <w:sz w:val="72"/>
          <w:szCs w:val="72"/>
          <w:highlight w:val="none"/>
        </w:rPr>
        <w:t>竞 争 性 谈 判 文 件</w:t>
      </w:r>
    </w:p>
    <w:p w14:paraId="707D59B5">
      <w:pPr>
        <w:spacing w:line="680" w:lineRule="exact"/>
        <w:jc w:val="center"/>
        <w:rPr>
          <w:rFonts w:hint="eastAsia" w:ascii="宋体" w:hAnsi="宋体" w:eastAsia="宋体" w:cs="宋体"/>
          <w:sz w:val="44"/>
          <w:szCs w:val="44"/>
          <w:highlight w:val="none"/>
        </w:rPr>
      </w:pPr>
    </w:p>
    <w:p w14:paraId="7656BD3F">
      <w:pPr>
        <w:spacing w:line="680" w:lineRule="exact"/>
        <w:jc w:val="center"/>
        <w:rPr>
          <w:rFonts w:hint="eastAsia" w:ascii="宋体" w:hAnsi="宋体" w:eastAsia="宋体" w:cs="宋体"/>
          <w:sz w:val="44"/>
          <w:szCs w:val="44"/>
          <w:highlight w:val="none"/>
        </w:rPr>
      </w:pPr>
    </w:p>
    <w:p w14:paraId="4E9081D3">
      <w:pPr>
        <w:pStyle w:val="26"/>
        <w:rPr>
          <w:rFonts w:hint="eastAsia" w:ascii="宋体" w:hAnsi="宋体" w:eastAsia="宋体" w:cs="宋体"/>
          <w:sz w:val="44"/>
          <w:szCs w:val="44"/>
          <w:highlight w:val="none"/>
        </w:rPr>
      </w:pPr>
    </w:p>
    <w:p w14:paraId="3B8D077C">
      <w:pPr>
        <w:rPr>
          <w:rFonts w:hint="eastAsia" w:ascii="宋体" w:hAnsi="宋体" w:eastAsia="宋体" w:cs="宋体"/>
          <w:highlight w:val="none"/>
        </w:rPr>
      </w:pPr>
    </w:p>
    <w:p w14:paraId="759C5570">
      <w:pPr>
        <w:spacing w:line="680" w:lineRule="exact"/>
        <w:rPr>
          <w:rFonts w:hint="eastAsia" w:ascii="宋体" w:hAnsi="宋体" w:eastAsia="宋体" w:cs="宋体"/>
          <w:sz w:val="44"/>
          <w:szCs w:val="44"/>
          <w:highlight w:val="none"/>
        </w:rPr>
      </w:pPr>
    </w:p>
    <w:p w14:paraId="107F5A16">
      <w:pPr>
        <w:spacing w:line="600" w:lineRule="auto"/>
        <w:ind w:leftChars="3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项目编号：</w:t>
      </w:r>
      <w:r>
        <w:rPr>
          <w:rFonts w:hint="eastAsia" w:ascii="宋体" w:hAnsi="宋体" w:cs="宋体"/>
          <w:sz w:val="28"/>
          <w:szCs w:val="28"/>
          <w:highlight w:val="none"/>
          <w:lang w:eastAsia="zh-CN"/>
        </w:rPr>
        <w:t>青枫采竞-2024010</w:t>
      </w:r>
    </w:p>
    <w:p w14:paraId="22E92A43">
      <w:pPr>
        <w:widowControl/>
        <w:spacing w:line="600" w:lineRule="auto"/>
        <w:ind w:leftChars="300"/>
        <w:rPr>
          <w:rFonts w:hint="default" w:ascii="宋体" w:hAnsi="宋体" w:eastAsia="宋体" w:cs="宋体"/>
          <w:b/>
          <w:bCs/>
          <w:sz w:val="28"/>
          <w:szCs w:val="28"/>
          <w:highlight w:val="none"/>
          <w:lang w:val="en-US"/>
        </w:rPr>
      </w:pPr>
      <w:r>
        <w:rPr>
          <w:rFonts w:hint="eastAsia" w:ascii="宋体" w:hAnsi="宋体" w:eastAsia="宋体" w:cs="宋体"/>
          <w:sz w:val="28"/>
          <w:szCs w:val="28"/>
          <w:highlight w:val="none"/>
        </w:rPr>
        <w:t>项目名称：</w:t>
      </w:r>
      <w:r>
        <w:rPr>
          <w:rFonts w:hint="eastAsia" w:ascii="宋体" w:hAnsi="宋体" w:cs="宋体"/>
          <w:kern w:val="2"/>
          <w:sz w:val="28"/>
          <w:szCs w:val="28"/>
          <w:highlight w:val="none"/>
          <w:lang w:val="en-US" w:eastAsia="zh-CN" w:bidi="ar-SA"/>
        </w:rPr>
        <w:t>2024年紫荆公园塑木平台、青枫公园北码头维修项目</w:t>
      </w:r>
    </w:p>
    <w:p w14:paraId="0E362F7B">
      <w:pPr>
        <w:spacing w:line="600" w:lineRule="auto"/>
        <w:ind w:leftChars="3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采 购 人：</w:t>
      </w:r>
      <w:r>
        <w:rPr>
          <w:rFonts w:hint="eastAsia" w:ascii="宋体" w:hAnsi="宋体" w:eastAsia="宋体" w:cs="宋体"/>
          <w:sz w:val="28"/>
          <w:szCs w:val="28"/>
          <w:highlight w:val="none"/>
          <w:lang w:eastAsia="zh-CN"/>
        </w:rPr>
        <w:t>常州市公园管理中心</w:t>
      </w:r>
    </w:p>
    <w:p w14:paraId="41035939">
      <w:pPr>
        <w:spacing w:line="480" w:lineRule="exact"/>
        <w:ind w:firstLine="420"/>
        <w:jc w:val="center"/>
        <w:rPr>
          <w:rFonts w:hint="eastAsia" w:ascii="宋体" w:hAnsi="宋体" w:eastAsia="宋体" w:cs="宋体"/>
          <w:sz w:val="32"/>
          <w:szCs w:val="32"/>
          <w:highlight w:val="none"/>
        </w:rPr>
      </w:pPr>
    </w:p>
    <w:p w14:paraId="28719CC5">
      <w:pPr>
        <w:spacing w:line="480" w:lineRule="exact"/>
        <w:jc w:val="center"/>
        <w:rPr>
          <w:rFonts w:hint="eastAsia" w:ascii="宋体" w:hAnsi="宋体" w:eastAsia="宋体" w:cs="宋体"/>
          <w:sz w:val="36"/>
          <w:szCs w:val="36"/>
          <w:highlight w:val="none"/>
        </w:rPr>
      </w:pPr>
    </w:p>
    <w:p w14:paraId="2907ED5F">
      <w:pPr>
        <w:pStyle w:val="10"/>
        <w:rPr>
          <w:rFonts w:hint="eastAsia" w:ascii="宋体" w:hAnsi="宋体" w:eastAsia="宋体" w:cs="宋体"/>
          <w:highlight w:val="none"/>
        </w:rPr>
      </w:pPr>
    </w:p>
    <w:p w14:paraId="658B7374">
      <w:pPr>
        <w:spacing w:line="60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常州青枫招标有限公司</w:t>
      </w:r>
    </w:p>
    <w:p w14:paraId="30666E83">
      <w:pPr>
        <w:spacing w:line="600" w:lineRule="auto"/>
        <w:jc w:val="center"/>
        <w:rPr>
          <w:rFonts w:hint="eastAsia" w:ascii="宋体" w:hAnsi="宋体" w:eastAsia="宋体" w:cs="宋体"/>
          <w:b/>
          <w:sz w:val="36"/>
          <w:szCs w:val="36"/>
          <w:highlight w:val="none"/>
        </w:rPr>
      </w:pPr>
      <w:r>
        <w:rPr>
          <w:rFonts w:hint="eastAsia" w:ascii="宋体" w:hAnsi="宋体" w:eastAsia="宋体" w:cs="宋体"/>
          <w:w w:val="90"/>
          <w:sz w:val="36"/>
          <w:szCs w:val="36"/>
          <w:highlight w:val="none"/>
        </w:rPr>
        <w:t>二〇二</w:t>
      </w:r>
      <w:r>
        <w:rPr>
          <w:rFonts w:hint="eastAsia" w:ascii="宋体" w:hAnsi="宋体" w:eastAsia="宋体" w:cs="宋体"/>
          <w:w w:val="90"/>
          <w:sz w:val="36"/>
          <w:szCs w:val="36"/>
          <w:highlight w:val="none"/>
          <w:lang w:val="en-US" w:eastAsia="zh-CN"/>
        </w:rPr>
        <w:t>四</w:t>
      </w:r>
      <w:r>
        <w:rPr>
          <w:rFonts w:hint="eastAsia" w:ascii="宋体" w:hAnsi="宋体" w:eastAsia="宋体" w:cs="宋体"/>
          <w:w w:val="90"/>
          <w:sz w:val="36"/>
          <w:szCs w:val="36"/>
          <w:highlight w:val="none"/>
        </w:rPr>
        <w:t>年</w:t>
      </w:r>
      <w:r>
        <w:rPr>
          <w:rFonts w:hint="eastAsia" w:ascii="宋体" w:hAnsi="宋体" w:cs="宋体"/>
          <w:w w:val="90"/>
          <w:sz w:val="36"/>
          <w:szCs w:val="36"/>
          <w:highlight w:val="none"/>
          <w:lang w:val="en-US" w:eastAsia="zh-CN"/>
        </w:rPr>
        <w:t>九</w:t>
      </w:r>
      <w:r>
        <w:rPr>
          <w:rFonts w:hint="eastAsia" w:ascii="宋体" w:hAnsi="宋体" w:eastAsia="宋体" w:cs="宋体"/>
          <w:w w:val="90"/>
          <w:sz w:val="36"/>
          <w:szCs w:val="36"/>
          <w:highlight w:val="none"/>
        </w:rPr>
        <w:t>月</w:t>
      </w:r>
    </w:p>
    <w:p w14:paraId="2860B0EB">
      <w:pPr>
        <w:spacing w:line="600" w:lineRule="auto"/>
        <w:ind w:firstLine="315"/>
        <w:jc w:val="center"/>
        <w:rPr>
          <w:rFonts w:hint="eastAsia" w:ascii="宋体" w:hAnsi="宋体" w:eastAsia="宋体" w:cs="宋体"/>
          <w:b/>
          <w:sz w:val="36"/>
          <w:szCs w:val="36"/>
          <w:highlight w:val="none"/>
        </w:rPr>
        <w:sectPr>
          <w:headerReference r:id="rId3" w:type="default"/>
          <w:footerReference r:id="rId4" w:type="default"/>
          <w:pgSz w:w="11906" w:h="16838"/>
          <w:pgMar w:top="1361" w:right="1474" w:bottom="1361" w:left="1758" w:header="851" w:footer="992" w:gutter="0"/>
          <w:pgNumType w:chapStyle="1"/>
          <w:cols w:space="720" w:num="1"/>
          <w:docGrid w:type="lines" w:linePitch="312" w:charSpace="0"/>
        </w:sectPr>
      </w:pPr>
    </w:p>
    <w:p w14:paraId="79DA6350">
      <w:pPr>
        <w:jc w:val="center"/>
        <w:rPr>
          <w:rFonts w:hint="eastAsia" w:ascii="宋体" w:hAnsi="宋体" w:eastAsia="宋体" w:cs="宋体"/>
          <w:b/>
          <w:bCs/>
          <w:color w:val="auto"/>
          <w:sz w:val="44"/>
          <w:szCs w:val="44"/>
          <w:highlight w:val="none"/>
        </w:rPr>
      </w:pPr>
      <w:bookmarkStart w:id="0" w:name="OLE_LINK8"/>
    </w:p>
    <w:p w14:paraId="16A3E9F2">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4F5E2F6C">
      <w:pPr>
        <w:pStyle w:val="26"/>
        <w:rPr>
          <w:rFonts w:hint="eastAsia" w:ascii="宋体" w:hAnsi="宋体" w:eastAsia="宋体" w:cs="宋体"/>
          <w:color w:val="auto"/>
          <w:highlight w:val="none"/>
        </w:rPr>
      </w:pPr>
    </w:p>
    <w:p w14:paraId="7FCA5195">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"_Toc15637"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lang w:eastAsia="zh-CN"/>
        </w:rPr>
        <w:t>竞争性</w:t>
      </w:r>
      <w:r>
        <w:rPr>
          <w:rFonts w:hint="eastAsia" w:ascii="宋体" w:hAnsi="宋体" w:eastAsia="宋体" w:cs="宋体"/>
          <w:bCs/>
          <w:color w:val="auto"/>
          <w:sz w:val="28"/>
          <w:szCs w:val="28"/>
          <w:highlight w:val="none"/>
          <w:lang w:val="en-US" w:eastAsia="zh-CN"/>
        </w:rPr>
        <w:t>谈判</w:t>
      </w:r>
      <w:r>
        <w:rPr>
          <w:rFonts w:hint="eastAsia" w:ascii="宋体" w:hAnsi="宋体" w:eastAsia="宋体" w:cs="宋体"/>
          <w:bCs/>
          <w:color w:val="auto"/>
          <w:sz w:val="28"/>
          <w:szCs w:val="28"/>
          <w:highlight w:val="none"/>
          <w:lang w:eastAsia="zh-CN"/>
        </w:rPr>
        <w:t>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p>
    <w:p w14:paraId="5D6E83E9">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"_Toc5347"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 w:val="28"/>
          <w:szCs w:val="28"/>
          <w:highlight w:val="none"/>
        </w:rPr>
        <w:t>第一章  总则</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fldChar w:fldCharType="end"/>
      </w:r>
    </w:p>
    <w:p w14:paraId="532618E0">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第二章  </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的组成</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120FB948">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第三章  </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62477F1D">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"_Toc6323"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第四章  合同主要条款（参考）</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14:paraId="6106295E">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"_Toc27493"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  评标细则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36D15950">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第六章  附件</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w:t>
      </w:r>
    </w:p>
    <w:p w14:paraId="4ACEA081">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友情提醒</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27F47D6E">
      <w:pPr>
        <w:spacing w:line="480" w:lineRule="auto"/>
        <w:jc w:val="center"/>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end"/>
      </w:r>
    </w:p>
    <w:p w14:paraId="4719D13F">
      <w:pPr>
        <w:spacing w:line="240" w:lineRule="atLeast"/>
        <w:jc w:val="center"/>
        <w:rPr>
          <w:rFonts w:hint="eastAsia" w:ascii="宋体" w:hAnsi="宋体" w:eastAsia="宋体" w:cs="宋体"/>
          <w:sz w:val="28"/>
          <w:szCs w:val="28"/>
          <w:highlight w:val="none"/>
        </w:rPr>
      </w:pPr>
    </w:p>
    <w:p w14:paraId="05866269">
      <w:pPr>
        <w:spacing w:line="240" w:lineRule="atLeast"/>
        <w:jc w:val="center"/>
        <w:rPr>
          <w:rFonts w:hint="eastAsia" w:ascii="宋体" w:hAnsi="宋体" w:eastAsia="宋体" w:cs="宋体"/>
          <w:sz w:val="28"/>
          <w:szCs w:val="28"/>
          <w:highlight w:val="none"/>
        </w:rPr>
      </w:pPr>
    </w:p>
    <w:p w14:paraId="016763E5">
      <w:pPr>
        <w:pStyle w:val="26"/>
        <w:rPr>
          <w:rFonts w:hint="eastAsia" w:ascii="宋体" w:hAnsi="宋体" w:eastAsia="宋体" w:cs="宋体"/>
          <w:sz w:val="28"/>
          <w:szCs w:val="28"/>
          <w:highlight w:val="none"/>
        </w:rPr>
      </w:pPr>
    </w:p>
    <w:p w14:paraId="52A362DC">
      <w:pPr>
        <w:rPr>
          <w:rFonts w:hint="eastAsia" w:ascii="宋体" w:hAnsi="宋体" w:eastAsia="宋体" w:cs="宋体"/>
          <w:sz w:val="28"/>
          <w:szCs w:val="28"/>
          <w:highlight w:val="none"/>
        </w:rPr>
      </w:pPr>
    </w:p>
    <w:p w14:paraId="3F9A1AD9">
      <w:pPr>
        <w:pStyle w:val="26"/>
        <w:rPr>
          <w:rFonts w:hint="eastAsia" w:ascii="宋体" w:hAnsi="宋体" w:eastAsia="宋体" w:cs="宋体"/>
          <w:highlight w:val="none"/>
        </w:rPr>
      </w:pPr>
    </w:p>
    <w:p w14:paraId="069313E3">
      <w:pPr>
        <w:spacing w:line="240" w:lineRule="atLeast"/>
        <w:jc w:val="center"/>
        <w:rPr>
          <w:rFonts w:hint="eastAsia" w:ascii="宋体" w:hAnsi="宋体" w:eastAsia="宋体" w:cs="宋体"/>
          <w:b/>
          <w:bCs/>
          <w:sz w:val="28"/>
          <w:szCs w:val="28"/>
          <w:highlight w:val="none"/>
        </w:rPr>
      </w:pPr>
    </w:p>
    <w:p w14:paraId="554E1E44">
      <w:pPr>
        <w:spacing w:line="240" w:lineRule="atLeast"/>
        <w:jc w:val="center"/>
        <w:rPr>
          <w:rFonts w:hint="eastAsia" w:ascii="宋体" w:hAnsi="宋体" w:eastAsia="宋体" w:cs="宋体"/>
          <w:b/>
          <w:bCs/>
          <w:sz w:val="28"/>
          <w:szCs w:val="28"/>
          <w:highlight w:val="none"/>
        </w:rPr>
      </w:pPr>
    </w:p>
    <w:p w14:paraId="1901D806">
      <w:pPr>
        <w:spacing w:line="240" w:lineRule="atLeast"/>
        <w:jc w:val="center"/>
        <w:rPr>
          <w:rFonts w:hint="eastAsia" w:ascii="宋体" w:hAnsi="宋体" w:eastAsia="宋体" w:cs="宋体"/>
          <w:b/>
          <w:bCs/>
          <w:sz w:val="28"/>
          <w:szCs w:val="28"/>
          <w:highlight w:val="none"/>
        </w:rPr>
      </w:pPr>
    </w:p>
    <w:p w14:paraId="0FAEE83A">
      <w:pPr>
        <w:spacing w:line="240" w:lineRule="atLeast"/>
        <w:jc w:val="center"/>
        <w:rPr>
          <w:rFonts w:hint="eastAsia" w:ascii="宋体" w:hAnsi="宋体" w:eastAsia="宋体" w:cs="宋体"/>
          <w:szCs w:val="21"/>
          <w:highlight w:val="none"/>
        </w:rPr>
      </w:pPr>
      <w:r>
        <w:rPr>
          <w:rFonts w:hint="eastAsia" w:ascii="宋体" w:hAnsi="宋体" w:eastAsia="宋体" w:cs="宋体"/>
          <w:b/>
          <w:bCs/>
          <w:sz w:val="28"/>
          <w:szCs w:val="28"/>
          <w:highlight w:val="none"/>
        </w:rPr>
        <w:t>竞争性谈判公告</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14:paraId="68EE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14:paraId="3F706B72">
            <w:pPr>
              <w:keepNext w:val="0"/>
              <w:keepLines w:val="0"/>
              <w:suppressLineNumbers w:val="0"/>
              <w:spacing w:before="0" w:beforeAutospacing="0" w:after="0" w:afterAutospacing="0" w:line="380" w:lineRule="exact"/>
              <w:ind w:left="0" w:right="0"/>
              <w:jc w:val="left"/>
              <w:rPr>
                <w:rFonts w:hint="eastAsia" w:ascii="宋体" w:hAnsi="宋体" w:eastAsia="宋体" w:cs="宋体"/>
                <w:szCs w:val="21"/>
                <w:highlight w:val="none"/>
              </w:rPr>
            </w:pPr>
            <w:bookmarkStart w:id="24" w:name="_GoBack"/>
            <w:r>
              <w:rPr>
                <w:rFonts w:hint="eastAsia" w:ascii="宋体" w:hAnsi="宋体" w:eastAsia="宋体" w:cs="宋体"/>
                <w:b/>
                <w:bCs/>
                <w:szCs w:val="21"/>
                <w:highlight w:val="none"/>
              </w:rPr>
              <w:t>项目概况</w:t>
            </w:r>
          </w:p>
          <w:p w14:paraId="6F680B59">
            <w:pPr>
              <w:pStyle w:val="26"/>
              <w:keepNext w:val="0"/>
              <w:keepLines w:val="0"/>
              <w:suppressLineNumbers w:val="0"/>
              <w:spacing w:before="0" w:beforeAutospacing="0" w:after="0" w:afterAutospacing="0" w:line="360" w:lineRule="exact"/>
              <w:ind w:left="0" w:right="0"/>
              <w:rPr>
                <w:rFonts w:hint="eastAsia" w:ascii="宋体" w:hAnsi="宋体" w:eastAsia="宋体" w:cs="宋体"/>
                <w:szCs w:val="20"/>
                <w:highlight w:val="none"/>
              </w:rPr>
            </w:pPr>
            <w:r>
              <w:rPr>
                <w:rFonts w:hint="eastAsia" w:hAnsi="宋体" w:cs="宋体"/>
                <w:b/>
                <w:bCs/>
                <w:szCs w:val="21"/>
                <w:highlight w:val="none"/>
                <w:u w:val="single"/>
                <w:lang w:val="en-US" w:eastAsia="zh-CN"/>
              </w:rPr>
              <w:t>2024年紫荆公园塑木平台、青枫公园北码头维修项目</w:t>
            </w:r>
            <w:r>
              <w:rPr>
                <w:rFonts w:hint="eastAsia" w:ascii="宋体" w:hAnsi="宋体" w:eastAsia="宋体" w:cs="宋体"/>
                <w:szCs w:val="21"/>
                <w:highlight w:val="none"/>
              </w:rPr>
              <w:t>采购项目的潜在供应商应在</w:t>
            </w:r>
            <w:r>
              <w:rPr>
                <w:rFonts w:hint="eastAsia" w:ascii="宋体" w:hAnsi="宋体" w:eastAsia="宋体" w:cs="宋体"/>
                <w:b/>
                <w:bCs/>
                <w:szCs w:val="21"/>
                <w:highlight w:val="none"/>
                <w:u w:val="single"/>
              </w:rPr>
              <w:t>常州青枫招标有限公司</w:t>
            </w:r>
            <w:r>
              <w:rPr>
                <w:rFonts w:hint="eastAsia" w:ascii="宋体" w:hAnsi="宋体" w:eastAsia="宋体" w:cs="宋体"/>
                <w:szCs w:val="21"/>
                <w:highlight w:val="none"/>
              </w:rPr>
              <w:t>获取采购文件，</w:t>
            </w:r>
            <w:r>
              <w:rPr>
                <w:rFonts w:hint="eastAsia" w:ascii="宋体" w:hAnsi="宋体" w:eastAsia="宋体" w:cs="宋体"/>
                <w:b/>
                <w:bCs/>
                <w:szCs w:val="21"/>
                <w:highlight w:val="none"/>
              </w:rPr>
              <w:t>并于</w:t>
            </w:r>
            <w:r>
              <w:rPr>
                <w:rFonts w:hint="eastAsia" w:ascii="宋体" w:hAnsi="宋体" w:eastAsia="宋体" w:cs="宋体"/>
                <w:b/>
                <w:bCs/>
                <w:szCs w:val="21"/>
                <w:highlight w:val="none"/>
                <w:u w:val="single"/>
              </w:rPr>
              <w:t>202</w:t>
            </w:r>
            <w:r>
              <w:rPr>
                <w:rFonts w:hint="eastAsia" w:ascii="宋体" w:hAnsi="宋体" w:eastAsia="宋体" w:cs="宋体"/>
                <w:b/>
                <w:bCs/>
                <w:szCs w:val="21"/>
                <w:highlight w:val="none"/>
                <w:u w:val="single"/>
                <w:lang w:val="en-US" w:eastAsia="zh-CN"/>
              </w:rPr>
              <w:t>4</w:t>
            </w:r>
            <w:r>
              <w:rPr>
                <w:rFonts w:hint="eastAsia" w:ascii="宋体" w:hAnsi="宋体" w:eastAsia="宋体" w:cs="宋体"/>
                <w:b/>
                <w:bCs/>
                <w:szCs w:val="21"/>
                <w:highlight w:val="none"/>
                <w:u w:val="single"/>
              </w:rPr>
              <w:t>年</w:t>
            </w:r>
            <w:r>
              <w:rPr>
                <w:rFonts w:hint="eastAsia" w:hAnsi="宋体" w:cs="宋体"/>
                <w:b/>
                <w:bCs/>
                <w:szCs w:val="21"/>
                <w:highlight w:val="none"/>
                <w:u w:val="single"/>
                <w:lang w:val="en-US" w:eastAsia="zh-CN"/>
              </w:rPr>
              <w:t>9月14</w:t>
            </w:r>
            <w:r>
              <w:rPr>
                <w:rFonts w:hint="eastAsia" w:ascii="宋体" w:hAnsi="宋体" w:eastAsia="宋体" w:cs="宋体"/>
                <w:b/>
                <w:bCs/>
                <w:szCs w:val="21"/>
                <w:highlight w:val="none"/>
                <w:u w:val="single"/>
              </w:rPr>
              <w:t>日</w:t>
            </w:r>
            <w:r>
              <w:rPr>
                <w:rFonts w:hint="eastAsia" w:hAnsi="宋体" w:cs="宋体"/>
                <w:b/>
                <w:bCs/>
                <w:szCs w:val="21"/>
                <w:highlight w:val="none"/>
                <w:u w:val="single"/>
                <w:lang w:val="en-US" w:eastAsia="zh-CN"/>
              </w:rPr>
              <w:t>15</w:t>
            </w:r>
            <w:r>
              <w:rPr>
                <w:rFonts w:hint="eastAsia" w:ascii="宋体" w:hAnsi="宋体" w:eastAsia="宋体" w:cs="宋体"/>
                <w:b/>
                <w:bCs/>
                <w:szCs w:val="21"/>
                <w:highlight w:val="none"/>
                <w:u w:val="single"/>
              </w:rPr>
              <w:t>点</w:t>
            </w:r>
            <w:r>
              <w:rPr>
                <w:rFonts w:hint="eastAsia" w:hAnsi="宋体" w:cs="宋体"/>
                <w:b/>
                <w:bCs/>
                <w:szCs w:val="21"/>
                <w:highlight w:val="none"/>
                <w:u w:val="single"/>
                <w:lang w:val="en-US" w:eastAsia="zh-CN"/>
              </w:rPr>
              <w:t>00</w:t>
            </w:r>
            <w:r>
              <w:rPr>
                <w:rFonts w:hint="eastAsia" w:ascii="宋体" w:hAnsi="宋体" w:eastAsia="宋体" w:cs="宋体"/>
                <w:b/>
                <w:bCs/>
                <w:szCs w:val="21"/>
                <w:highlight w:val="none"/>
                <w:u w:val="single"/>
              </w:rPr>
              <w:t>分</w:t>
            </w:r>
            <w:r>
              <w:rPr>
                <w:rFonts w:hint="eastAsia" w:ascii="宋体" w:hAnsi="宋体" w:eastAsia="宋体" w:cs="宋体"/>
                <w:szCs w:val="21"/>
                <w:highlight w:val="none"/>
              </w:rPr>
              <w:t>（北京时间）前提交响应文件。</w:t>
            </w:r>
          </w:p>
        </w:tc>
      </w:tr>
    </w:tbl>
    <w:p w14:paraId="75EC9297">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一、</w:t>
      </w:r>
      <w:r>
        <w:rPr>
          <w:rFonts w:hint="eastAsia" w:ascii="宋体" w:hAnsi="宋体" w:eastAsia="宋体" w:cs="宋体"/>
          <w:b/>
          <w:bCs/>
          <w:szCs w:val="21"/>
          <w:highlight w:val="none"/>
        </w:rPr>
        <w:t>项目基本情况</w:t>
      </w:r>
    </w:p>
    <w:p w14:paraId="4F6753B2">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1.项目编号：</w:t>
      </w:r>
      <w:r>
        <w:rPr>
          <w:rFonts w:hint="eastAsia" w:ascii="宋体" w:hAnsi="宋体" w:cs="宋体"/>
          <w:szCs w:val="21"/>
          <w:highlight w:val="none"/>
          <w:lang w:eastAsia="zh-CN"/>
        </w:rPr>
        <w:t>青枫采竞-2024010</w:t>
      </w:r>
    </w:p>
    <w:p w14:paraId="509738DE">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2.项目名称：</w:t>
      </w:r>
      <w:r>
        <w:rPr>
          <w:rFonts w:hint="eastAsia" w:ascii="宋体" w:hAnsi="宋体" w:cs="宋体"/>
          <w:szCs w:val="21"/>
          <w:highlight w:val="none"/>
          <w:lang w:val="en-US" w:eastAsia="zh-CN"/>
        </w:rPr>
        <w:t>2024年紫荆公园塑木平台、青枫公园北码头维修项目</w:t>
      </w:r>
    </w:p>
    <w:p w14:paraId="310A200C">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3.采购方式：竞争性谈判</w:t>
      </w:r>
    </w:p>
    <w:p w14:paraId="216109D6">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4.预算金额：</w:t>
      </w:r>
      <w:r>
        <w:rPr>
          <w:rFonts w:hint="eastAsia" w:ascii="宋体" w:hAnsi="宋体" w:cs="宋体"/>
          <w:b/>
          <w:bCs/>
          <w:szCs w:val="21"/>
          <w:highlight w:val="none"/>
          <w:lang w:val="en-US" w:eastAsia="zh-CN"/>
        </w:rPr>
        <w:t>人民币伍拾贰万伍仟伍佰贰拾肆元玖角玖分（¥525.524.99）</w:t>
      </w:r>
    </w:p>
    <w:p w14:paraId="495D964C">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5.最高限价：</w:t>
      </w:r>
      <w:r>
        <w:rPr>
          <w:rFonts w:hint="eastAsia" w:ascii="宋体" w:hAnsi="宋体" w:cs="宋体"/>
          <w:b/>
          <w:bCs/>
          <w:szCs w:val="21"/>
          <w:highlight w:val="none"/>
          <w:lang w:val="en-US" w:eastAsia="zh-CN"/>
        </w:rPr>
        <w:t>人民币伍拾贰万伍仟伍佰贰拾肆元玖角玖分（¥525.524.99）</w:t>
      </w:r>
    </w:p>
    <w:p w14:paraId="1495CA48">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6.采购需求：</w:t>
      </w:r>
      <w:r>
        <w:rPr>
          <w:rFonts w:hint="eastAsia" w:ascii="宋体" w:hAnsi="宋体" w:eastAsia="宋体" w:cs="Times New Roman"/>
          <w:szCs w:val="21"/>
          <w:highlight w:val="none"/>
          <w:lang w:val="en-US" w:eastAsia="zh-CN"/>
        </w:rPr>
        <w:t>本工程为2024年紫荆公园塑木平台、青枫公园北码头维修，</w:t>
      </w:r>
      <w:r>
        <w:rPr>
          <w:rFonts w:hint="eastAsia" w:ascii="宋体" w:hAnsi="宋体" w:eastAsia="宋体" w:cs="宋体"/>
          <w:szCs w:val="21"/>
          <w:highlight w:val="none"/>
          <w:lang w:val="en-US" w:eastAsia="zh-CN"/>
        </w:rPr>
        <w:t>项目内容包括紫荆公园塑木平台</w:t>
      </w:r>
      <w:r>
        <w:rPr>
          <w:rFonts w:hint="eastAsia" w:ascii="宋体" w:hAnsi="宋体" w:cs="宋体"/>
          <w:szCs w:val="21"/>
          <w:highlight w:val="none"/>
          <w:lang w:val="en-US" w:eastAsia="zh-CN"/>
        </w:rPr>
        <w:t>维修，增加铝合金栏杆、橡胶运动场地、运动围网和浮筒平台改造等施工</w:t>
      </w:r>
      <w:r>
        <w:rPr>
          <w:rFonts w:hint="eastAsia" w:ascii="宋体" w:hAnsi="宋体" w:eastAsia="宋体" w:cs="Times New Roman"/>
          <w:szCs w:val="21"/>
          <w:highlight w:val="none"/>
          <w:lang w:val="en-US" w:eastAsia="zh-CN"/>
        </w:rPr>
        <w:t>。</w:t>
      </w:r>
      <w:r>
        <w:rPr>
          <w:rFonts w:hint="eastAsia" w:ascii="宋体" w:hAnsi="宋体" w:eastAsia="宋体" w:cs="宋体"/>
          <w:szCs w:val="21"/>
          <w:highlight w:val="none"/>
        </w:rPr>
        <w:t>包括但不限于</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及其基本技术要求范围内相应工程开工前的准备（包括现场踏勘、技术核对等）、技术资料、施工、技术服务、主管单位验收、质保期及维保服务和</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所要求的相关工程等全部内容。</w:t>
      </w:r>
    </w:p>
    <w:p w14:paraId="4392CEC9">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7.合同履行期限：</w:t>
      </w:r>
      <w:r>
        <w:rPr>
          <w:rFonts w:hint="eastAsia" w:ascii="宋体" w:hAnsi="宋体" w:eastAsia="宋体" w:cs="宋体"/>
          <w:sz w:val="21"/>
          <w:szCs w:val="21"/>
          <w:highlight w:val="none"/>
          <w:lang w:val="en-US" w:eastAsia="zh-CN"/>
        </w:rPr>
        <w:t>收到采购人发出的书面</w:t>
      </w:r>
      <w:r>
        <w:rPr>
          <w:rFonts w:hint="eastAsia" w:ascii="宋体" w:hAnsi="宋体" w:cs="宋体"/>
          <w:sz w:val="21"/>
          <w:szCs w:val="21"/>
          <w:highlight w:val="none"/>
          <w:lang w:val="en-US" w:eastAsia="zh-CN"/>
        </w:rPr>
        <w:t>通知</w:t>
      </w:r>
      <w:r>
        <w:rPr>
          <w:rFonts w:hint="eastAsia" w:ascii="宋体" w:hAnsi="宋体" w:eastAsia="宋体" w:cs="宋体"/>
          <w:sz w:val="21"/>
          <w:szCs w:val="21"/>
          <w:highlight w:val="none"/>
          <w:lang w:val="en-US" w:eastAsia="zh-CN"/>
        </w:rPr>
        <w:t>后3日内开工，并在</w:t>
      </w:r>
      <w:r>
        <w:rPr>
          <w:rFonts w:hint="eastAsia" w:ascii="宋体" w:hAnsi="宋体" w:cs="宋体"/>
          <w:sz w:val="21"/>
          <w:szCs w:val="21"/>
          <w:highlight w:val="none"/>
          <w:lang w:val="en-US" w:eastAsia="zh-CN"/>
        </w:rPr>
        <w:t>45</w:t>
      </w:r>
      <w:r>
        <w:rPr>
          <w:rFonts w:hint="eastAsia" w:ascii="宋体" w:hAnsi="宋体" w:eastAsia="宋体" w:cs="宋体"/>
          <w:sz w:val="21"/>
          <w:szCs w:val="21"/>
          <w:highlight w:val="none"/>
          <w:lang w:val="en-US" w:eastAsia="zh-CN"/>
        </w:rPr>
        <w:t>个日历日内完工。</w:t>
      </w:r>
    </w:p>
    <w:p w14:paraId="1B997D6E">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8.本项目不接受联合体投标。</w:t>
      </w:r>
    </w:p>
    <w:bookmarkEnd w:id="0"/>
    <w:p w14:paraId="04029335">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二、申请人的资格要求</w:t>
      </w:r>
    </w:p>
    <w:p w14:paraId="4C7282F6">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1.满足《中华人民共和国政府采购法》第二十二条规定；</w:t>
      </w:r>
    </w:p>
    <w:p w14:paraId="52BC6B7C">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2.落实政府采购政策需满足的资格要求：无</w:t>
      </w:r>
    </w:p>
    <w:p w14:paraId="509172AE">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3.本项目的特定资格要求：</w:t>
      </w:r>
    </w:p>
    <w:p w14:paraId="5CF43CC0">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lang w:val="en-US"/>
        </w:rPr>
      </w:pPr>
      <w:r>
        <w:rPr>
          <w:rFonts w:hint="eastAsia" w:ascii="宋体" w:hAnsi="宋体" w:eastAsia="宋体" w:cs="宋体"/>
          <w:b/>
          <w:bCs/>
          <w:szCs w:val="21"/>
          <w:highlight w:val="none"/>
          <w:lang w:val="en-US"/>
        </w:rPr>
        <w:t>（1）具备建筑工程施工总承包叁级及以上资质,同时具有安全生产许可证；</w:t>
      </w:r>
    </w:p>
    <w:p w14:paraId="1FA1E172">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lang w:val="en-US"/>
        </w:rPr>
      </w:pPr>
      <w:r>
        <w:rPr>
          <w:rFonts w:hint="eastAsia" w:ascii="宋体" w:hAnsi="宋体" w:eastAsia="宋体" w:cs="宋体"/>
          <w:b/>
          <w:bCs/>
          <w:szCs w:val="21"/>
          <w:highlight w:val="none"/>
          <w:lang w:val="en-US"/>
        </w:rPr>
        <w:t>（2）项目经理要求具有建筑工程贰级及以上注册建造师资格,同时具有安全生产考核合格证书（B证）；</w:t>
      </w:r>
    </w:p>
    <w:p w14:paraId="7C807393">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）单位负责人为同一人或者存在直接控股、管理关系的不同供应商，不得参加同一合同项下的采购活动；</w:t>
      </w:r>
    </w:p>
    <w:p w14:paraId="17FD5547">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）未被“信用中国”网站（www.creditchina.gov.cn）、“中国政府采购网”网站（www.ccgp.gov.cn）列入</w:t>
      </w:r>
      <w:r>
        <w:rPr>
          <w:rFonts w:hint="eastAsia" w:ascii="宋体" w:hAnsi="宋体" w:cs="宋体"/>
          <w:szCs w:val="21"/>
          <w:highlight w:val="none"/>
          <w:lang w:val="en-US" w:eastAsia="zh-CN"/>
        </w:rPr>
        <w:t>失信被执行人、重大税收违法失信主体</w:t>
      </w:r>
      <w:r>
        <w:rPr>
          <w:rFonts w:hint="eastAsia" w:ascii="宋体" w:hAnsi="宋体" w:eastAsia="宋体" w:cs="宋体"/>
          <w:color w:val="auto"/>
          <w:szCs w:val="21"/>
          <w:highlight w:val="none"/>
        </w:rPr>
        <w:t>、</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"http://www.ccgp.gov.cn/search/cr/" \o "政府采购严重违法失信行为记录名单"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政府采购严重违法失信行为记录名单</w:t>
      </w:r>
      <w:r>
        <w:rPr>
          <w:rFonts w:hint="eastAsia" w:ascii="宋体" w:hAnsi="宋体" w:eastAsia="宋体" w:cs="宋体"/>
          <w:szCs w:val="21"/>
          <w:highlight w:val="none"/>
        </w:rPr>
        <w:fldChar w:fldCharType="end"/>
      </w:r>
      <w:r>
        <w:rPr>
          <w:rFonts w:hint="eastAsia" w:ascii="宋体" w:hAnsi="宋体" w:eastAsia="宋体" w:cs="宋体"/>
          <w:szCs w:val="21"/>
          <w:highlight w:val="none"/>
        </w:rPr>
        <w:t>。</w:t>
      </w:r>
    </w:p>
    <w:p w14:paraId="46688306">
      <w:pPr>
        <w:keepNext w:val="0"/>
        <w:keepLines w:val="0"/>
        <w:pageBreakBefore w:val="0"/>
        <w:kinsoku/>
        <w:wordWrap/>
        <w:overflowPunct/>
        <w:topLinePunct w:val="0"/>
        <w:autoSpaceDE/>
        <w:autoSpaceDN/>
        <w:bidi w:val="0"/>
        <w:adjustRightInd/>
        <w:snapToGrid/>
        <w:spacing w:line="440" w:lineRule="atLeast"/>
        <w:textAlignment w:val="auto"/>
        <w:outlineLvl w:val="9"/>
        <w:rPr>
          <w:rFonts w:hint="eastAsia" w:ascii="宋体" w:hAnsi="宋体" w:eastAsia="宋体" w:cs="宋体"/>
          <w:b/>
          <w:bCs/>
          <w:color w:val="000000"/>
          <w:szCs w:val="21"/>
          <w:highlight w:val="none"/>
        </w:rPr>
      </w:pPr>
      <w:bookmarkStart w:id="1" w:name="_Toc2164"/>
      <w:r>
        <w:rPr>
          <w:rFonts w:hint="eastAsia" w:ascii="宋体" w:hAnsi="宋体" w:eastAsia="宋体" w:cs="宋体"/>
          <w:b/>
          <w:bCs/>
          <w:color w:val="000000"/>
          <w:szCs w:val="21"/>
          <w:highlight w:val="none"/>
        </w:rPr>
        <w:t>三、获取采购文件</w:t>
      </w:r>
    </w:p>
    <w:p w14:paraId="7445A1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1.时间：</w:t>
      </w:r>
      <w:r>
        <w:rPr>
          <w:rFonts w:hint="eastAsia"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10</w:t>
      </w:r>
      <w:r>
        <w:rPr>
          <w:rFonts w:hint="eastAsia" w:ascii="宋体" w:hAnsi="宋体" w:cs="宋体"/>
          <w:b/>
          <w:bCs/>
          <w:szCs w:val="21"/>
          <w:highlight w:val="none"/>
        </w:rPr>
        <w:t>日至202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14</w:t>
      </w:r>
      <w:r>
        <w:rPr>
          <w:rFonts w:hint="eastAsia" w:ascii="宋体" w:hAnsi="宋体" w:cs="宋体"/>
          <w:b/>
          <w:bCs/>
          <w:szCs w:val="21"/>
          <w:highlight w:val="none"/>
        </w:rPr>
        <w:t>日</w:t>
      </w:r>
      <w:r>
        <w:rPr>
          <w:rFonts w:hint="eastAsia" w:ascii="宋体" w:hAnsi="宋体" w:cs="宋体"/>
          <w:b/>
          <w:bCs/>
          <w:szCs w:val="21"/>
          <w:highlight w:val="none"/>
          <w:lang w:val="en-US" w:eastAsia="zh-CN"/>
        </w:rPr>
        <w:t>15</w:t>
      </w:r>
      <w:r>
        <w:rPr>
          <w:rFonts w:hint="eastAsia" w:ascii="宋体" w:hAnsi="宋体" w:cs="宋体"/>
          <w:b/>
          <w:bCs/>
          <w:szCs w:val="21"/>
          <w:highlight w:val="none"/>
        </w:rPr>
        <w:t>点</w:t>
      </w:r>
      <w:r>
        <w:rPr>
          <w:rFonts w:hint="eastAsia" w:ascii="宋体" w:hAnsi="宋体" w:cs="宋体"/>
          <w:b/>
          <w:bCs/>
          <w:szCs w:val="21"/>
          <w:highlight w:val="none"/>
          <w:lang w:val="en-US" w:eastAsia="zh-CN"/>
        </w:rPr>
        <w:t>00</w:t>
      </w:r>
      <w:r>
        <w:rPr>
          <w:rFonts w:hint="eastAsia" w:ascii="宋体" w:hAnsi="宋体" w:cs="宋体"/>
          <w:b/>
          <w:bCs/>
          <w:szCs w:val="21"/>
          <w:highlight w:val="none"/>
        </w:rPr>
        <w:t>分前</w:t>
      </w:r>
      <w:r>
        <w:rPr>
          <w:rFonts w:hint="eastAsia" w:ascii="宋体" w:hAnsi="宋体" w:cs="宋体"/>
          <w:szCs w:val="21"/>
          <w:highlight w:val="none"/>
        </w:rPr>
        <w:t>（北京时间）</w:t>
      </w:r>
    </w:p>
    <w:p w14:paraId="2363FD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2.方式：本项目无需单独报名，由各供应商自行下载竞争性谈判文件，供应商需按竞争性谈判文件要求编制响应文件。</w:t>
      </w:r>
    </w:p>
    <w:p w14:paraId="147750D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szCs w:val="21"/>
          <w:highlight w:val="none"/>
        </w:rPr>
      </w:pPr>
      <w:r>
        <w:rPr>
          <w:rFonts w:hint="eastAsia" w:ascii="宋体" w:hAnsi="宋体" w:cs="宋体"/>
          <w:szCs w:val="21"/>
          <w:highlight w:val="none"/>
        </w:rPr>
        <w:t>3.售价：人民币</w:t>
      </w:r>
      <w:r>
        <w:rPr>
          <w:rFonts w:hint="eastAsia" w:ascii="宋体" w:hAnsi="宋体" w:cs="宋体"/>
          <w:szCs w:val="21"/>
          <w:highlight w:val="none"/>
          <w:lang w:val="en-US" w:eastAsia="zh-CN"/>
        </w:rPr>
        <w:t>叁佰</w:t>
      </w:r>
      <w:r>
        <w:rPr>
          <w:rFonts w:hint="eastAsia" w:ascii="宋体" w:hAnsi="宋体" w:cs="宋体"/>
          <w:szCs w:val="21"/>
          <w:highlight w:val="none"/>
        </w:rPr>
        <w:t>元整（该费用需在响应文件递交前缴纳，否则其响应文件将被拒绝）</w:t>
      </w:r>
    </w:p>
    <w:p w14:paraId="2461F9A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szCs w:val="21"/>
          <w:highlight w:val="none"/>
        </w:rPr>
      </w:pPr>
      <w:r>
        <w:rPr>
          <w:rFonts w:hint="eastAsia" w:ascii="宋体" w:hAnsi="宋体" w:cs="宋体"/>
          <w:b/>
          <w:bCs/>
          <w:szCs w:val="21"/>
          <w:highlight w:val="none"/>
        </w:rPr>
        <w:t>四、</w:t>
      </w:r>
      <w:r>
        <w:rPr>
          <w:rFonts w:hint="eastAsia" w:ascii="宋体" w:hAnsi="宋体" w:cs="宋体"/>
          <w:b/>
          <w:bCs/>
          <w:szCs w:val="22"/>
          <w:highlight w:val="none"/>
        </w:rPr>
        <w:t>提交响应文件截止时间、开标时间和地点</w:t>
      </w:r>
    </w:p>
    <w:p w14:paraId="6C30E4E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1.截止时间：</w:t>
      </w:r>
      <w:r>
        <w:rPr>
          <w:rFonts w:hint="eastAsia"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14</w:t>
      </w:r>
      <w:r>
        <w:rPr>
          <w:rFonts w:hint="eastAsia" w:ascii="宋体" w:hAnsi="宋体" w:cs="宋体"/>
          <w:b/>
          <w:bCs/>
          <w:szCs w:val="21"/>
          <w:highlight w:val="none"/>
        </w:rPr>
        <w:t>日</w:t>
      </w:r>
      <w:r>
        <w:rPr>
          <w:rFonts w:hint="eastAsia" w:ascii="宋体" w:hAnsi="宋体" w:cs="宋体"/>
          <w:b/>
          <w:bCs/>
          <w:szCs w:val="21"/>
          <w:highlight w:val="none"/>
          <w:lang w:val="en-US" w:eastAsia="zh-CN"/>
        </w:rPr>
        <w:t>15</w:t>
      </w:r>
      <w:r>
        <w:rPr>
          <w:rFonts w:hint="eastAsia" w:ascii="宋体" w:hAnsi="宋体" w:cs="宋体"/>
          <w:b/>
          <w:bCs/>
          <w:szCs w:val="21"/>
          <w:highlight w:val="none"/>
        </w:rPr>
        <w:t>点</w:t>
      </w:r>
      <w:r>
        <w:rPr>
          <w:rFonts w:hint="eastAsia" w:ascii="宋体" w:hAnsi="宋体" w:cs="宋体"/>
          <w:b/>
          <w:bCs/>
          <w:szCs w:val="21"/>
          <w:highlight w:val="none"/>
          <w:lang w:val="en-US" w:eastAsia="zh-CN"/>
        </w:rPr>
        <w:t>00</w:t>
      </w:r>
      <w:r>
        <w:rPr>
          <w:rFonts w:hint="eastAsia" w:ascii="宋体" w:hAnsi="宋体" w:cs="宋体"/>
          <w:b/>
          <w:bCs/>
          <w:szCs w:val="21"/>
          <w:highlight w:val="none"/>
        </w:rPr>
        <w:t>分</w:t>
      </w:r>
      <w:r>
        <w:rPr>
          <w:rFonts w:hint="eastAsia" w:ascii="宋体" w:hAnsi="宋体" w:cs="宋体"/>
          <w:szCs w:val="21"/>
          <w:highlight w:val="none"/>
        </w:rPr>
        <w:t>（北京时间）</w:t>
      </w:r>
    </w:p>
    <w:p w14:paraId="5E0CA9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2.地点：</w:t>
      </w:r>
      <w:r>
        <w:rPr>
          <w:rFonts w:hint="eastAsia" w:ascii="宋体" w:hAnsi="宋体" w:eastAsia="宋体" w:cs="宋体"/>
          <w:szCs w:val="21"/>
          <w:highlight w:val="none"/>
          <w:lang w:eastAsia="zh-CN"/>
        </w:rPr>
        <w:t>常州市钟楼区运河路198号博济新博智汇谷5栋202室</w:t>
      </w:r>
    </w:p>
    <w:p w14:paraId="35CD9B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五</w:t>
      </w:r>
      <w:r>
        <w:rPr>
          <w:rFonts w:hint="eastAsia" w:ascii="宋体" w:hAnsi="宋体" w:eastAsia="宋体" w:cs="宋体"/>
          <w:b/>
          <w:bCs/>
          <w:szCs w:val="21"/>
          <w:highlight w:val="none"/>
        </w:rPr>
        <w:t>、公告期限</w:t>
      </w:r>
    </w:p>
    <w:p w14:paraId="2D032A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自本公告发布之日起3</w:t>
      </w:r>
      <w:r>
        <w:rPr>
          <w:rFonts w:hint="eastAsia" w:ascii="宋体" w:hAnsi="宋体" w:eastAsia="宋体" w:cs="宋体"/>
          <w:szCs w:val="21"/>
          <w:highlight w:val="none"/>
          <w:lang w:val="en-US" w:eastAsia="zh-CN"/>
        </w:rPr>
        <w:t>个工作</w:t>
      </w:r>
      <w:r>
        <w:rPr>
          <w:rFonts w:hint="eastAsia" w:ascii="宋体" w:hAnsi="宋体" w:eastAsia="宋体" w:cs="宋体"/>
          <w:szCs w:val="21"/>
          <w:highlight w:val="none"/>
        </w:rPr>
        <w:t>日。</w:t>
      </w:r>
    </w:p>
    <w:p w14:paraId="58AA2A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六</w:t>
      </w:r>
      <w:r>
        <w:rPr>
          <w:rFonts w:hint="eastAsia" w:ascii="宋体" w:hAnsi="宋体" w:eastAsia="宋体" w:cs="宋体"/>
          <w:b/>
          <w:bCs/>
          <w:szCs w:val="21"/>
          <w:highlight w:val="none"/>
        </w:rPr>
        <w:t>、其他补充事宜</w:t>
      </w:r>
    </w:p>
    <w:p w14:paraId="7936903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1.谈判保证金</w:t>
      </w:r>
    </w:p>
    <w:p w14:paraId="55EB182A">
      <w:pPr>
        <w:keepNext w:val="0"/>
        <w:keepLines w:val="0"/>
        <w:pageBreakBefore w:val="0"/>
        <w:kinsoku/>
        <w:wordWrap/>
        <w:overflowPunct/>
        <w:topLinePunct w:val="0"/>
        <w:autoSpaceDE/>
        <w:autoSpaceDN/>
        <w:bidi w:val="0"/>
        <w:adjustRightInd/>
        <w:snapToGrid/>
        <w:spacing w:line="440" w:lineRule="atLeast"/>
        <w:ind w:firstLine="405"/>
        <w:textAlignment w:val="auto"/>
        <w:rPr>
          <w:rFonts w:hint="eastAsia" w:ascii="宋体" w:hAnsi="宋体" w:eastAsia="宋体" w:cs="宋体"/>
          <w:b/>
          <w:szCs w:val="21"/>
          <w:highlight w:val="none"/>
        </w:rPr>
      </w:pPr>
      <w:r>
        <w:rPr>
          <w:rFonts w:hint="eastAsia" w:ascii="宋体" w:hAnsi="宋体" w:eastAsia="宋体" w:cs="宋体"/>
          <w:szCs w:val="21"/>
          <w:highlight w:val="none"/>
        </w:rPr>
        <w:t>（1）谈判保证金数额：</w:t>
      </w:r>
      <w:r>
        <w:rPr>
          <w:rFonts w:hint="eastAsia" w:ascii="宋体" w:hAnsi="宋体" w:eastAsia="宋体" w:cs="宋体"/>
          <w:b/>
          <w:szCs w:val="21"/>
          <w:highlight w:val="none"/>
        </w:rPr>
        <w:t>人民币</w:t>
      </w:r>
      <w:r>
        <w:rPr>
          <w:rFonts w:hint="eastAsia" w:ascii="宋体" w:hAnsi="宋体" w:cs="宋体"/>
          <w:b/>
          <w:szCs w:val="21"/>
          <w:highlight w:val="none"/>
          <w:lang w:val="en-US" w:eastAsia="zh-CN"/>
        </w:rPr>
        <w:t>壹万零壹拾元整</w:t>
      </w:r>
      <w:r>
        <w:rPr>
          <w:rFonts w:hint="eastAsia" w:ascii="宋体" w:hAnsi="宋体" w:eastAsia="宋体" w:cs="宋体"/>
          <w:b/>
          <w:szCs w:val="21"/>
          <w:highlight w:val="none"/>
        </w:rPr>
        <w:t>（¥</w:t>
      </w:r>
      <w:r>
        <w:rPr>
          <w:rFonts w:hint="eastAsia" w:ascii="宋体" w:hAnsi="宋体" w:cs="宋体"/>
          <w:b/>
          <w:szCs w:val="21"/>
          <w:highlight w:val="none"/>
          <w:lang w:val="en-US" w:eastAsia="zh-CN"/>
        </w:rPr>
        <w:t>10010.00</w:t>
      </w:r>
      <w:r>
        <w:rPr>
          <w:rFonts w:hint="eastAsia" w:ascii="宋体" w:hAnsi="宋体" w:eastAsia="宋体" w:cs="宋体"/>
          <w:b/>
          <w:szCs w:val="21"/>
          <w:highlight w:val="none"/>
        </w:rPr>
        <w:t>）</w:t>
      </w:r>
    </w:p>
    <w:p w14:paraId="68BB65C1">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（2）收款单位：常州青枫招标有限公司</w:t>
      </w:r>
    </w:p>
    <w:p w14:paraId="239D479E">
      <w:pPr>
        <w:keepNext w:val="0"/>
        <w:keepLines w:val="0"/>
        <w:pageBreakBefore w:val="0"/>
        <w:kinsoku/>
        <w:wordWrap/>
        <w:overflowPunct/>
        <w:topLinePunct w:val="0"/>
        <w:autoSpaceDE/>
        <w:autoSpaceDN/>
        <w:bidi w:val="0"/>
        <w:adjustRightInd/>
        <w:snapToGrid/>
        <w:spacing w:line="440" w:lineRule="atLeast"/>
        <w:ind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开户银行：江苏银行常州钟楼支行</w:t>
      </w:r>
    </w:p>
    <w:p w14:paraId="4CCA9BE0">
      <w:pPr>
        <w:keepNext w:val="0"/>
        <w:keepLines w:val="0"/>
        <w:pageBreakBefore w:val="0"/>
        <w:tabs>
          <w:tab w:val="center" w:pos="4310"/>
        </w:tabs>
        <w:kinsoku/>
        <w:wordWrap/>
        <w:overflowPunct/>
        <w:topLinePunct w:val="0"/>
        <w:autoSpaceDE/>
        <w:autoSpaceDN/>
        <w:bidi w:val="0"/>
        <w:adjustRightInd/>
        <w:snapToGrid/>
        <w:spacing w:line="440" w:lineRule="atLeast"/>
        <w:ind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银行账号：808 00188 000 172788 </w:t>
      </w:r>
    </w:p>
    <w:p w14:paraId="708DBD12">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 w:val="21"/>
          <w:szCs w:val="21"/>
          <w:highlight w:val="none"/>
        </w:rPr>
        <w:t>（3）</w:t>
      </w:r>
      <w:r>
        <w:rPr>
          <w:rFonts w:hint="eastAsia" w:ascii="宋体" w:hAnsi="宋体" w:eastAsia="宋体" w:cs="宋体"/>
          <w:szCs w:val="21"/>
          <w:highlight w:val="none"/>
        </w:rPr>
        <w:t>谈判保证金到</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截止日期：</w:t>
      </w:r>
      <w:r>
        <w:rPr>
          <w:rFonts w:hint="eastAsia"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14</w:t>
      </w:r>
      <w:r>
        <w:rPr>
          <w:rFonts w:hint="eastAsia" w:ascii="宋体" w:hAnsi="宋体" w:cs="宋体"/>
          <w:b/>
          <w:bCs/>
          <w:szCs w:val="21"/>
          <w:highlight w:val="none"/>
        </w:rPr>
        <w:t>日</w:t>
      </w:r>
      <w:r>
        <w:rPr>
          <w:rFonts w:hint="eastAsia" w:ascii="宋体" w:hAnsi="宋体" w:cs="宋体"/>
          <w:b/>
          <w:bCs/>
          <w:szCs w:val="21"/>
          <w:highlight w:val="none"/>
          <w:lang w:val="en-US" w:eastAsia="zh-CN"/>
        </w:rPr>
        <w:t>15</w:t>
      </w:r>
      <w:r>
        <w:rPr>
          <w:rFonts w:hint="eastAsia" w:ascii="宋体" w:hAnsi="宋体" w:cs="宋体"/>
          <w:b/>
          <w:bCs/>
          <w:szCs w:val="21"/>
          <w:highlight w:val="none"/>
        </w:rPr>
        <w:t>点</w:t>
      </w:r>
      <w:r>
        <w:rPr>
          <w:rFonts w:hint="eastAsia" w:ascii="宋体" w:hAnsi="宋体" w:cs="宋体"/>
          <w:b/>
          <w:bCs/>
          <w:szCs w:val="21"/>
          <w:highlight w:val="none"/>
          <w:lang w:val="en-US" w:eastAsia="zh-CN"/>
        </w:rPr>
        <w:t>00</w:t>
      </w:r>
      <w:r>
        <w:rPr>
          <w:rFonts w:hint="eastAsia" w:ascii="宋体" w:hAnsi="宋体" w:cs="宋体"/>
          <w:b/>
          <w:bCs/>
          <w:szCs w:val="21"/>
          <w:highlight w:val="none"/>
        </w:rPr>
        <w:t>分</w:t>
      </w:r>
    </w:p>
    <w:p w14:paraId="53C2302F">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 w:val="21"/>
          <w:szCs w:val="21"/>
          <w:highlight w:val="none"/>
        </w:rPr>
        <w:t>（4）</w:t>
      </w:r>
      <w:r>
        <w:rPr>
          <w:rFonts w:hint="eastAsia" w:ascii="宋体" w:hAnsi="宋体" w:eastAsia="宋体" w:cs="宋体"/>
          <w:szCs w:val="21"/>
          <w:highlight w:val="none"/>
        </w:rPr>
        <w:t>谈判保证金交纳方式：支票转账、电汇或网银</w:t>
      </w:r>
    </w:p>
    <w:p w14:paraId="799A373B">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default" w:ascii="宋体" w:hAnsi="宋体" w:eastAsia="宋体" w:cs="宋体"/>
          <w:b/>
          <w:bCs/>
          <w:szCs w:val="21"/>
          <w:highlight w:val="none"/>
          <w:lang w:val="en-US" w:eastAsia="zh-CN"/>
        </w:rPr>
      </w:pPr>
      <w:r>
        <w:rPr>
          <w:rFonts w:hint="eastAsia" w:ascii="宋体" w:hAnsi="宋体" w:eastAsia="宋体" w:cs="宋体"/>
          <w:sz w:val="21"/>
          <w:szCs w:val="21"/>
          <w:highlight w:val="none"/>
        </w:rPr>
        <w:t>（5）</w:t>
      </w:r>
      <w:r>
        <w:rPr>
          <w:rFonts w:hint="eastAsia" w:ascii="宋体" w:hAnsi="宋体" w:eastAsia="宋体" w:cs="宋体"/>
          <w:b/>
          <w:bCs/>
          <w:szCs w:val="21"/>
          <w:highlight w:val="none"/>
          <w:lang w:eastAsia="zh-CN"/>
        </w:rPr>
        <w:t>谈判保证金</w:t>
      </w:r>
      <w:r>
        <w:rPr>
          <w:rFonts w:hint="eastAsia" w:ascii="宋体" w:hAnsi="宋体" w:eastAsia="宋体" w:cs="宋体"/>
          <w:b/>
          <w:bCs/>
          <w:szCs w:val="21"/>
          <w:highlight w:val="none"/>
        </w:rPr>
        <w:t>备注或摘要：谈判</w:t>
      </w:r>
      <w:r>
        <w:rPr>
          <w:rFonts w:hint="eastAsia" w:ascii="宋体" w:hAnsi="宋体" w:cs="宋体"/>
          <w:b/>
          <w:bCs/>
          <w:szCs w:val="21"/>
          <w:highlight w:val="none"/>
          <w:lang w:eastAsia="zh-CN"/>
        </w:rPr>
        <w:t>2024010</w:t>
      </w:r>
    </w:p>
    <w:p w14:paraId="7A967C8E">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*供应商必须自行将谈判保证金从对公账户按规定方式和时间缴至上述指定</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户并到</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，拒绝以其它方式缴纳，禁止第三方代缴保证金，否则将被视为无效响应，其响应文件将被拒绝。</w:t>
      </w:r>
    </w:p>
    <w:p w14:paraId="4815F360">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2.现场踏勘及标前答疑</w:t>
      </w:r>
    </w:p>
    <w:p w14:paraId="505C8AFF">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（1）供应商自行踏勘现场。</w:t>
      </w:r>
    </w:p>
    <w:p w14:paraId="3EC84044">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（2）标前答疑：供应商对谈判文件如有疑问，请将疑问于</w:t>
      </w:r>
      <w:r>
        <w:rPr>
          <w:rFonts w:hint="eastAsia" w:ascii="宋体" w:hAnsi="宋体" w:eastAsia="宋体" w:cs="宋体"/>
          <w:b/>
          <w:bCs/>
          <w:szCs w:val="21"/>
          <w:highlight w:val="none"/>
          <w:lang w:eastAsia="zh-CN"/>
        </w:rPr>
        <w:t>2024</w:t>
      </w:r>
      <w:r>
        <w:rPr>
          <w:rFonts w:hint="eastAsia" w:ascii="宋体" w:hAnsi="宋体" w:eastAsia="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eastAsia="宋体" w:cs="宋体"/>
          <w:b/>
          <w:bCs/>
          <w:szCs w:val="21"/>
          <w:highlight w:val="none"/>
        </w:rPr>
        <w:t>月</w:t>
      </w:r>
      <w:r>
        <w:rPr>
          <w:rFonts w:hint="eastAsia" w:ascii="宋体" w:hAnsi="宋体" w:cs="宋体"/>
          <w:b/>
          <w:bCs/>
          <w:szCs w:val="21"/>
          <w:highlight w:val="none"/>
          <w:lang w:val="en-US" w:eastAsia="zh-CN"/>
        </w:rPr>
        <w:t>13</w:t>
      </w:r>
      <w:r>
        <w:rPr>
          <w:rFonts w:hint="eastAsia" w:ascii="宋体" w:hAnsi="宋体" w:eastAsia="宋体" w:cs="宋体"/>
          <w:b/>
          <w:bCs/>
          <w:szCs w:val="21"/>
          <w:highlight w:val="none"/>
        </w:rPr>
        <w:t>日</w:t>
      </w:r>
      <w:r>
        <w:rPr>
          <w:rFonts w:hint="eastAsia" w:ascii="宋体" w:hAnsi="宋体" w:cs="宋体"/>
          <w:b/>
          <w:bCs/>
          <w:szCs w:val="21"/>
          <w:highlight w:val="none"/>
          <w:lang w:val="en-US" w:eastAsia="zh-CN"/>
        </w:rPr>
        <w:t>11</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30前</w:t>
      </w:r>
      <w:r>
        <w:rPr>
          <w:rFonts w:hint="eastAsia" w:ascii="宋体" w:hAnsi="宋体" w:eastAsia="宋体" w:cs="宋体"/>
          <w:szCs w:val="21"/>
          <w:highlight w:val="none"/>
        </w:rPr>
        <w:t>以书面原件形式递交至常州青枫招标有限公司。（注：提疑文件：①必须加盖供应商公章；②以代理机构收到时间为准。否则代理机构有权拒收其递交的文件）。</w:t>
      </w:r>
    </w:p>
    <w:p w14:paraId="34510A04">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3.谈判文件售后一概不退。供应商递交的响应文件概不退还。一经领购不接受修改。</w:t>
      </w:r>
    </w:p>
    <w:p w14:paraId="75842AA8">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4.本项目资格后审。</w:t>
      </w:r>
    </w:p>
    <w:p w14:paraId="4D2EA25E">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5.公告发布媒体：常州青枫招标有限公司网站</w:t>
      </w:r>
      <w:r>
        <w:rPr>
          <w:rFonts w:hint="eastAsia" w:ascii="宋体" w:hAnsi="宋体" w:eastAsia="宋体" w:cs="宋体"/>
          <w:b/>
          <w:bCs/>
          <w:szCs w:val="21"/>
          <w:highlight w:val="none"/>
          <w:lang w:eastAsia="zh-CN"/>
        </w:rPr>
        <w:t>。</w:t>
      </w:r>
    </w:p>
    <w:p w14:paraId="4B0A6997">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七</w:t>
      </w:r>
      <w:r>
        <w:rPr>
          <w:rFonts w:hint="eastAsia" w:ascii="宋体" w:hAnsi="宋体" w:eastAsia="宋体" w:cs="宋体"/>
          <w:b/>
          <w:bCs/>
          <w:szCs w:val="21"/>
          <w:highlight w:val="none"/>
        </w:rPr>
        <w:t>、凡对本次采购提出询问，请按以下方式联系</w:t>
      </w:r>
    </w:p>
    <w:p w14:paraId="76B8A9BD">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1.</w:t>
      </w:r>
      <w:r>
        <w:rPr>
          <w:rFonts w:hint="eastAsia" w:ascii="宋体" w:hAnsi="宋体" w:eastAsia="宋体" w:cs="宋体"/>
          <w:b/>
          <w:bCs/>
          <w:szCs w:val="21"/>
          <w:highlight w:val="none"/>
          <w:lang w:eastAsia="zh-CN"/>
        </w:rPr>
        <w:t>采购人</w:t>
      </w:r>
      <w:r>
        <w:rPr>
          <w:rFonts w:hint="eastAsia" w:ascii="宋体" w:hAnsi="宋体" w:eastAsia="宋体" w:cs="宋体"/>
          <w:b/>
          <w:bCs/>
          <w:szCs w:val="21"/>
          <w:highlight w:val="none"/>
        </w:rPr>
        <w:t>信息</w:t>
      </w:r>
    </w:p>
    <w:p w14:paraId="4902FEAA">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名称：常州市公园管理中心</w:t>
      </w:r>
    </w:p>
    <w:p w14:paraId="62AC916C">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地址：常州市天宁区竹林北路231号</w:t>
      </w:r>
    </w:p>
    <w:p w14:paraId="02EAF8A7">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联系方式：</w:t>
      </w:r>
      <w:r>
        <w:rPr>
          <w:rFonts w:hint="eastAsia" w:ascii="宋体" w:hAnsi="宋体" w:cs="宋体"/>
          <w:szCs w:val="21"/>
          <w:highlight w:val="none"/>
          <w:lang w:val="en-US" w:eastAsia="zh-CN"/>
        </w:rPr>
        <w:t>谢女士 0519-88586379</w:t>
      </w:r>
    </w:p>
    <w:p w14:paraId="543DF498">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2.代理机构信息</w:t>
      </w:r>
    </w:p>
    <w:p w14:paraId="19FEFF0D">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名称：常州青枫招标有限公司</w:t>
      </w:r>
    </w:p>
    <w:p w14:paraId="03077826">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地址：</w:t>
      </w:r>
      <w:r>
        <w:rPr>
          <w:rFonts w:hint="eastAsia" w:ascii="宋体" w:hAnsi="宋体" w:eastAsia="宋体" w:cs="宋体"/>
          <w:szCs w:val="21"/>
          <w:highlight w:val="none"/>
          <w:lang w:eastAsia="zh-CN"/>
        </w:rPr>
        <w:t>常州市钟楼区运河路198号博济新博智汇谷5栋202室</w:t>
      </w:r>
    </w:p>
    <w:p w14:paraId="1B093EC8">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联系方式：0519-88119558</w:t>
      </w:r>
    </w:p>
    <w:p w14:paraId="44C1858E">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3.项目联系方式</w:t>
      </w:r>
    </w:p>
    <w:p w14:paraId="0581FF29">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项目联系人：</w:t>
      </w:r>
      <w:r>
        <w:rPr>
          <w:rFonts w:hint="eastAsia" w:ascii="宋体" w:hAnsi="宋体" w:cs="宋体"/>
          <w:szCs w:val="21"/>
          <w:highlight w:val="none"/>
          <w:lang w:val="en-US" w:eastAsia="zh-CN"/>
        </w:rPr>
        <w:t>张</w:t>
      </w:r>
      <w:r>
        <w:rPr>
          <w:rFonts w:hAnsi="宋体" w:cs="宋体"/>
          <w:szCs w:val="21"/>
          <w:highlight w:val="none"/>
        </w:rPr>
        <w:t>工</w:t>
      </w:r>
    </w:p>
    <w:p w14:paraId="6DD83E30">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电话：0519-88119558</w:t>
      </w:r>
    </w:p>
    <w:p w14:paraId="0079BA94">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邮箱：qf@czqfzb.com</w:t>
      </w:r>
    </w:p>
    <w:p w14:paraId="652E599C">
      <w:pPr>
        <w:jc w:val="center"/>
        <w:rPr>
          <w:rFonts w:hint="eastAsia" w:ascii="宋体" w:hAnsi="宋体" w:eastAsia="宋体" w:cs="宋体"/>
          <w:b/>
          <w:bCs/>
          <w:sz w:val="28"/>
          <w:szCs w:val="28"/>
          <w:highlight w:val="none"/>
        </w:rPr>
        <w:sectPr>
          <w:footerReference r:id="rId5" w:type="default"/>
          <w:pgSz w:w="11906" w:h="16838"/>
          <w:pgMar w:top="1361" w:right="1474" w:bottom="1361" w:left="1758" w:header="850" w:footer="992" w:gutter="0"/>
          <w:pgNumType w:chapStyle="1"/>
          <w:cols w:space="720" w:num="1"/>
          <w:docGrid w:type="lines" w:linePitch="312" w:charSpace="0"/>
        </w:sectPr>
      </w:pPr>
    </w:p>
    <w:bookmarkEnd w:id="24"/>
    <w:p w14:paraId="64392950">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第一章    总     则</w:t>
      </w:r>
      <w:bookmarkEnd w:id="1"/>
    </w:p>
    <w:p w14:paraId="058F6DC9">
      <w:pPr>
        <w:keepNext w:val="0"/>
        <w:keepLines w:val="0"/>
        <w:pageBreakBefore w:val="0"/>
        <w:wordWrap/>
        <w:topLinePunct w:val="0"/>
        <w:bidi w:val="0"/>
        <w:snapToGrid/>
        <w:spacing w:line="440" w:lineRule="exact"/>
        <w:rPr>
          <w:rFonts w:hint="eastAsia" w:ascii="宋体" w:hAnsi="宋体" w:eastAsia="宋体" w:cs="宋体"/>
          <w:b/>
          <w:bCs/>
          <w:szCs w:val="21"/>
          <w:highlight w:val="none"/>
        </w:rPr>
      </w:pPr>
      <w:r>
        <w:rPr>
          <w:rFonts w:hint="eastAsia" w:ascii="宋体" w:hAnsi="宋体" w:eastAsia="宋体" w:cs="宋体"/>
          <w:b/>
          <w:bCs/>
          <w:szCs w:val="21"/>
          <w:highlight w:val="none"/>
        </w:rPr>
        <w:t>1、招标方式</w:t>
      </w:r>
    </w:p>
    <w:p w14:paraId="70E419C5">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本次招标采取竞争性谈判方式，本谈判文件仅适用于竞争性谈判公告中所述项目。</w:t>
      </w:r>
    </w:p>
    <w:p w14:paraId="5D3A0C44">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2、合格的供应商</w:t>
      </w:r>
    </w:p>
    <w:p w14:paraId="4ADBD228">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2.1满足竞争性谈判公告中对供应商资格要求的规定。</w:t>
      </w:r>
    </w:p>
    <w:p w14:paraId="513E1FF6">
      <w:pPr>
        <w:keepNext w:val="0"/>
        <w:keepLines w:val="0"/>
        <w:pageBreakBefore w:val="0"/>
        <w:wordWrap/>
        <w:topLinePunct w:val="0"/>
        <w:bidi w:val="0"/>
        <w:snapToGrid/>
        <w:spacing w:line="440" w:lineRule="exact"/>
        <w:ind w:firstLine="420" w:firstLineChars="200"/>
        <w:rPr>
          <w:rFonts w:hint="eastAsia" w:ascii="宋体" w:hAnsi="宋体" w:eastAsia="宋体" w:cs="宋体"/>
          <w:b/>
          <w:szCs w:val="21"/>
          <w:highlight w:val="none"/>
        </w:rPr>
      </w:pPr>
      <w:r>
        <w:rPr>
          <w:rFonts w:hint="eastAsia" w:ascii="宋体" w:hAnsi="宋体" w:eastAsia="宋体" w:cs="宋体"/>
          <w:szCs w:val="21"/>
          <w:highlight w:val="none"/>
        </w:rPr>
        <w:t>2.2满足本文件实质性条款的规定。</w:t>
      </w:r>
    </w:p>
    <w:p w14:paraId="09CE63F7">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3、投标费用</w:t>
      </w:r>
    </w:p>
    <w:p w14:paraId="6AC1E17F">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供应商应承担其编制响应文件与递交响应文件所涉及的一切费用。不管投标结果如何，代理机构或</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对上述费用不负任何责任。</w:t>
      </w:r>
    </w:p>
    <w:p w14:paraId="52B3353E">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4、谈判文件的组成</w:t>
      </w:r>
    </w:p>
    <w:p w14:paraId="72D8FD83">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4.1本文件及依法对本文件所作的更正内容均为谈判文件的组成部分。</w:t>
      </w:r>
    </w:p>
    <w:p w14:paraId="34581205">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4.2供应商应仔细检查谈判文件是否齐全，如有缺漏，立即与代理机构联系解决。</w:t>
      </w:r>
    </w:p>
    <w:p w14:paraId="561B5A8A">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1D2F2F3D">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4.4供应商一旦参加本项目采购活动，即被认为接受了本谈判文件的规定和约束。</w:t>
      </w:r>
    </w:p>
    <w:p w14:paraId="0AD095D0">
      <w:pPr>
        <w:pStyle w:val="26"/>
        <w:keepNext w:val="0"/>
        <w:keepLines w:val="0"/>
        <w:pageBreakBefore w:val="0"/>
        <w:wordWrap/>
        <w:topLinePunct w:val="0"/>
        <w:bidi w:val="0"/>
        <w:snapToGrid/>
        <w:spacing w:line="440" w:lineRule="exact"/>
        <w:rPr>
          <w:rFonts w:hint="eastAsia" w:ascii="宋体" w:hAnsi="宋体" w:eastAsia="宋体" w:cs="宋体"/>
          <w:highlight w:val="none"/>
        </w:rPr>
      </w:pPr>
      <w:r>
        <w:rPr>
          <w:rFonts w:hint="eastAsia" w:ascii="宋体" w:hAnsi="宋体" w:eastAsia="宋体" w:cs="宋体"/>
          <w:b/>
          <w:bCs/>
          <w:szCs w:val="21"/>
          <w:highlight w:val="none"/>
        </w:rPr>
        <w:t>4.5谈判文件有询问或者质疑（投诉）的，由供应商向</w:t>
      </w:r>
      <w:r>
        <w:rPr>
          <w:rFonts w:hint="eastAsia" w:ascii="宋体" w:hAnsi="宋体" w:eastAsia="宋体" w:cs="宋体"/>
          <w:b/>
          <w:bCs/>
          <w:szCs w:val="21"/>
          <w:highlight w:val="none"/>
          <w:lang w:val="en-US" w:eastAsia="zh-CN"/>
        </w:rPr>
        <w:t>代理机构</w:t>
      </w:r>
      <w:r>
        <w:rPr>
          <w:rFonts w:hint="eastAsia" w:ascii="宋体" w:hAnsi="宋体" w:eastAsia="宋体" w:cs="宋体"/>
          <w:b/>
          <w:bCs/>
          <w:szCs w:val="21"/>
          <w:highlight w:val="none"/>
        </w:rPr>
        <w:t>书面提出，由</w:t>
      </w:r>
      <w:r>
        <w:rPr>
          <w:rFonts w:hint="eastAsia" w:ascii="宋体" w:hAnsi="宋体" w:eastAsia="宋体" w:cs="宋体"/>
          <w:b/>
          <w:bCs/>
          <w:szCs w:val="21"/>
          <w:highlight w:val="none"/>
          <w:lang w:val="en-US" w:eastAsia="zh-CN"/>
        </w:rPr>
        <w:t>代理机构</w:t>
      </w:r>
      <w:r>
        <w:rPr>
          <w:rFonts w:hint="eastAsia" w:ascii="宋体" w:hAnsi="宋体" w:eastAsia="宋体" w:cs="宋体"/>
          <w:b/>
          <w:bCs/>
          <w:szCs w:val="21"/>
          <w:highlight w:val="none"/>
        </w:rPr>
        <w:t>负责接收和回复</w:t>
      </w:r>
      <w:r>
        <w:rPr>
          <w:rFonts w:hint="eastAsia" w:ascii="宋体" w:hAnsi="宋体" w:eastAsia="宋体" w:cs="宋体"/>
          <w:b/>
          <w:bCs/>
          <w:szCs w:val="21"/>
          <w:highlight w:val="none"/>
          <w:lang w:eastAsia="zh-CN"/>
        </w:rPr>
        <w:t>，采购人</w:t>
      </w:r>
      <w:r>
        <w:rPr>
          <w:rFonts w:hint="eastAsia" w:ascii="宋体" w:hAnsi="宋体" w:eastAsia="宋体" w:cs="宋体"/>
          <w:b/>
          <w:bCs/>
          <w:szCs w:val="21"/>
          <w:highlight w:val="none"/>
        </w:rPr>
        <w:t>负责</w:t>
      </w:r>
      <w:r>
        <w:rPr>
          <w:rFonts w:hint="eastAsia" w:ascii="宋体" w:hAnsi="宋体" w:eastAsia="宋体" w:cs="宋体"/>
          <w:b/>
          <w:bCs/>
          <w:szCs w:val="21"/>
          <w:highlight w:val="none"/>
          <w:lang w:val="en-US" w:eastAsia="zh-CN"/>
        </w:rPr>
        <w:t>审核</w:t>
      </w:r>
      <w:r>
        <w:rPr>
          <w:rFonts w:hint="eastAsia" w:ascii="宋体" w:hAnsi="宋体" w:eastAsia="宋体" w:cs="宋体"/>
          <w:b/>
          <w:bCs/>
          <w:szCs w:val="21"/>
          <w:highlight w:val="none"/>
        </w:rPr>
        <w:t>。</w:t>
      </w:r>
    </w:p>
    <w:p w14:paraId="3D0666FA">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5、谈判文件的澄清、补充、更正</w:t>
      </w:r>
    </w:p>
    <w:p w14:paraId="766BF71E">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5.1代理机构向供应商提供的有关资料和数据，是代理机构现有的能使供应商利用的资料。代理机构对供应商由此而作出的推论、理解和结论概不负责。供应商</w:t>
      </w:r>
      <w:r>
        <w:rPr>
          <w:rFonts w:hint="eastAsia" w:ascii="宋体" w:hAnsi="宋体" w:eastAsia="宋体" w:cs="宋体"/>
          <w:bCs/>
          <w:szCs w:val="21"/>
          <w:highlight w:val="none"/>
        </w:rPr>
        <w:t>由于对谈判文件的任何推论和误解以及</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对有关问题的口头解释所造成的后果，均由供应商自行负责。</w:t>
      </w:r>
    </w:p>
    <w:p w14:paraId="79B52771">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供应商提出的与投标有关的任何问题须在收到谈判文件后，按规定时间以书面形式递交至代理机构，未以书面形式递交提出的，或逾期提出的异议将不被接受。如无疑问，视作供应商完全响应谈判文件的条款和要求。</w:t>
      </w:r>
    </w:p>
    <w:p w14:paraId="72867E5A">
      <w:pPr>
        <w:keepNext w:val="0"/>
        <w:keepLines w:val="0"/>
        <w:pageBreakBefore w:val="0"/>
        <w:wordWrap/>
        <w:topLinePunct w:val="0"/>
        <w:bidi w:val="0"/>
        <w:snapToGrid/>
        <w:spacing w:line="440" w:lineRule="exact"/>
        <w:ind w:firstLine="420" w:firstLineChars="200"/>
        <w:rPr>
          <w:rFonts w:hint="eastAsia" w:ascii="宋体" w:hAnsi="宋体" w:eastAsia="宋体" w:cs="宋体"/>
          <w:b/>
          <w:szCs w:val="21"/>
          <w:highlight w:val="none"/>
          <w:lang w:val="zh-CN"/>
        </w:rPr>
      </w:pPr>
      <w:r>
        <w:rPr>
          <w:rFonts w:hint="eastAsia" w:ascii="宋体" w:hAnsi="宋体" w:eastAsia="宋体" w:cs="宋体"/>
          <w:bCs/>
          <w:szCs w:val="21"/>
          <w:highlight w:val="none"/>
        </w:rPr>
        <w:t>5.3</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及代理机构有权对已发出的谈判文件进行必要的澄清或更正。</w:t>
      </w:r>
    </w:p>
    <w:p w14:paraId="250F43BC">
      <w:pPr>
        <w:pStyle w:val="26"/>
        <w:keepNext w:val="0"/>
        <w:keepLines w:val="0"/>
        <w:pageBreakBefore w:val="0"/>
        <w:wordWrap/>
        <w:topLinePunct w:val="0"/>
        <w:bidi w:val="0"/>
        <w:snapToGrid/>
        <w:spacing w:line="440" w:lineRule="exact"/>
        <w:rPr>
          <w:rFonts w:hint="eastAsia" w:ascii="宋体" w:hAnsi="宋体" w:eastAsia="宋体" w:cs="宋体"/>
          <w:b/>
          <w:szCs w:val="21"/>
          <w:highlight w:val="none"/>
          <w:lang w:val="zh-CN"/>
        </w:rPr>
      </w:pPr>
      <w:r>
        <w:rPr>
          <w:rFonts w:hint="eastAsia" w:ascii="宋体" w:hAnsi="宋体" w:eastAsia="宋体" w:cs="宋体"/>
          <w:b/>
          <w:szCs w:val="21"/>
          <w:highlight w:val="none"/>
        </w:rPr>
        <w:t>5.4</w:t>
      </w:r>
      <w:r>
        <w:rPr>
          <w:rFonts w:hint="eastAsia" w:ascii="宋体" w:hAnsi="宋体" w:eastAsia="宋体" w:cs="宋体"/>
          <w:b/>
          <w:bCs/>
          <w:szCs w:val="21"/>
          <w:highlight w:val="none"/>
        </w:rPr>
        <w:t>所有有关谈判文件</w:t>
      </w:r>
      <w:r>
        <w:rPr>
          <w:rFonts w:hint="eastAsia" w:ascii="宋体" w:hAnsi="宋体" w:eastAsia="宋体" w:cs="宋体"/>
          <w:b/>
          <w:szCs w:val="21"/>
          <w:highlight w:val="none"/>
        </w:rPr>
        <w:t>的澄清、</w:t>
      </w:r>
      <w:r>
        <w:rPr>
          <w:rFonts w:hint="eastAsia" w:ascii="宋体" w:hAnsi="宋体" w:eastAsia="宋体" w:cs="宋体"/>
          <w:b/>
          <w:szCs w:val="21"/>
          <w:highlight w:val="none"/>
          <w:lang w:val="zh-CN"/>
        </w:rPr>
        <w:t>补充、更正</w:t>
      </w:r>
      <w:r>
        <w:rPr>
          <w:rFonts w:hint="eastAsia" w:ascii="宋体" w:hAnsi="宋体" w:eastAsia="宋体" w:cs="宋体"/>
          <w:b/>
          <w:szCs w:val="21"/>
          <w:highlight w:val="none"/>
        </w:rPr>
        <w:t>将在“常州青枫招标有限公司”网站以</w:t>
      </w:r>
      <w:r>
        <w:rPr>
          <w:rFonts w:hint="eastAsia" w:ascii="宋体" w:hAnsi="宋体" w:eastAsia="宋体" w:cs="宋体"/>
          <w:b/>
          <w:szCs w:val="21"/>
          <w:highlight w:val="none"/>
          <w:lang w:val="zh-CN"/>
        </w:rPr>
        <w:t>补充公告形式在网上发布</w:t>
      </w:r>
      <w:r>
        <w:rPr>
          <w:rFonts w:hint="eastAsia" w:ascii="宋体" w:hAnsi="宋体" w:eastAsia="宋体" w:cs="宋体"/>
          <w:b/>
          <w:szCs w:val="21"/>
          <w:highlight w:val="none"/>
        </w:rPr>
        <w:t>。补充文件（澄清、补充、更正公告等）将作为谈判文件的组成部分，并对供应商具有约束力，由供应商自行关注并获取。</w:t>
      </w:r>
    </w:p>
    <w:p w14:paraId="0352A1CA">
      <w:pPr>
        <w:keepNext w:val="0"/>
        <w:keepLines w:val="0"/>
        <w:pageBreakBefore w:val="0"/>
        <w:wordWrap/>
        <w:topLinePunct w:val="0"/>
        <w:bidi w:val="0"/>
        <w:snapToGrid/>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5.5</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可视具体情况，延长投标截止时间和谈判时间，并将此变更以公告形式通知所有谈判文件收受人。</w:t>
      </w:r>
    </w:p>
    <w:p w14:paraId="02625BD0">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6、供应商的义务</w:t>
      </w:r>
    </w:p>
    <w:p w14:paraId="1AE8BBA6">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6.1供应商应当认真阅读谈判文件，完全明了招标项目之名称、用途、数量、质量和交货日期，完全明了供应商所应具备的资格条件。</w:t>
      </w:r>
    </w:p>
    <w:p w14:paraId="53A6C922">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6.2供应商应当按照谈判文件的要求编制响应文件。响应文件应对谈判文件提出的实质性要求和条件作出完全响应。</w:t>
      </w:r>
    </w:p>
    <w:p w14:paraId="075DA3ED">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6.3供应商应在投标截止时间前，将密封的响应文件送达投标地点。</w:t>
      </w:r>
    </w:p>
    <w:p w14:paraId="71D97BDC">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6.4供应商不得相互串通谈判报价，不得排挤其他供应商的公平竞争，损害</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或者其他供应商合法权益。供应商不得与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串通投标，损害国家利益，公众利益或者他人的合法权益。</w:t>
      </w:r>
    </w:p>
    <w:p w14:paraId="1B8CCF4F">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6.5供应商在投标截止时间前，对所提交的响应文件可以补充、修改或者撤回，并书面通知</w:t>
      </w:r>
      <w:r>
        <w:rPr>
          <w:rFonts w:hint="eastAsia" w:ascii="宋体" w:hAnsi="宋体" w:eastAsia="宋体" w:cs="宋体"/>
          <w:szCs w:val="21"/>
          <w:highlight w:val="none"/>
          <w:lang w:eastAsia="zh-CN"/>
        </w:rPr>
        <w:t>采购人</w:t>
      </w:r>
      <w:r>
        <w:rPr>
          <w:rFonts w:hint="eastAsia" w:ascii="宋体" w:hAnsi="宋体" w:eastAsia="宋体" w:cs="宋体"/>
          <w:bCs/>
          <w:szCs w:val="21"/>
          <w:highlight w:val="none"/>
        </w:rPr>
        <w:t>及代理机构</w:t>
      </w:r>
      <w:r>
        <w:rPr>
          <w:rFonts w:hint="eastAsia" w:ascii="宋体" w:hAnsi="宋体" w:eastAsia="宋体" w:cs="宋体"/>
          <w:szCs w:val="21"/>
          <w:highlight w:val="none"/>
        </w:rPr>
        <w:t>。补充、修改的内容为响应文件的组成部分。</w:t>
      </w:r>
    </w:p>
    <w:p w14:paraId="78A4364B">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7、谈判报价</w:t>
      </w:r>
    </w:p>
    <w:p w14:paraId="381A54BA">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7.1本工程</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采用</w:t>
      </w:r>
      <w:r>
        <w:rPr>
          <w:rFonts w:hint="eastAsia" w:ascii="宋体" w:hAnsi="宋体" w:eastAsia="宋体" w:cs="宋体"/>
          <w:b/>
          <w:bCs/>
          <w:sz w:val="21"/>
          <w:szCs w:val="21"/>
          <w:highlight w:val="none"/>
          <w:u w:val="single"/>
        </w:rPr>
        <w:t>工程量清单报价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应按采购人提供的工程量清单编制</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文件。</w:t>
      </w:r>
    </w:p>
    <w:p w14:paraId="2B123856">
      <w:pPr>
        <w:keepNext w:val="0"/>
        <w:keepLines w:val="0"/>
        <w:pageBreakBefore w:val="0"/>
        <w:widowControl w:val="0"/>
        <w:kinsoku/>
        <w:wordWrap/>
        <w:topLinePunct w:val="0"/>
        <w:bidi w:val="0"/>
        <w:snapToGrid/>
        <w:spacing w:line="44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*须书面打印装订的表格：现行工程量清单计价规范格式表格</w:t>
      </w:r>
      <w:r>
        <w:rPr>
          <w:rFonts w:hint="eastAsia" w:ascii="宋体" w:hAnsi="宋体" w:eastAsia="宋体" w:cs="宋体"/>
          <w:sz w:val="21"/>
          <w:szCs w:val="21"/>
          <w:highlight w:val="none"/>
        </w:rPr>
        <w:t>。</w:t>
      </w:r>
    </w:p>
    <w:p w14:paraId="0691D182">
      <w:pPr>
        <w:keepNext w:val="0"/>
        <w:keepLines w:val="0"/>
        <w:pageBreakBefore w:val="0"/>
        <w:widowControl w:val="0"/>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w:t>
      </w:r>
      <w:r>
        <w:rPr>
          <w:rFonts w:hint="eastAsia" w:ascii="宋体" w:hAnsi="宋体" w:eastAsia="宋体" w:cs="宋体"/>
          <w:b/>
          <w:sz w:val="21"/>
          <w:szCs w:val="21"/>
          <w:highlight w:val="none"/>
        </w:rPr>
        <w:t>本工程采用固定综合单价，</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为</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中提出的各项支付金额的总和。</w:t>
      </w:r>
    </w:p>
    <w:p w14:paraId="234FA655">
      <w:pPr>
        <w:keepNext w:val="0"/>
        <w:keepLines w:val="0"/>
        <w:pageBreakBefore w:val="0"/>
        <w:widowControl w:val="0"/>
        <w:kinsoku/>
        <w:wordWrap/>
        <w:topLinePunct w:val="0"/>
        <w:bidi w:val="0"/>
        <w:snapToGrid/>
        <w:spacing w:line="440" w:lineRule="exact"/>
        <w:ind w:firstLine="42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7.1.2</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所填报的各项基价中的各种材料单价在合同实施期间不因市场价格变化因素而变动，</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在报综合单价时应考虑各种风险因素和自己的承受能力。</w:t>
      </w:r>
    </w:p>
    <w:p w14:paraId="35BF6341">
      <w:pPr>
        <w:pStyle w:val="15"/>
        <w:keepNext w:val="0"/>
        <w:keepLines w:val="0"/>
        <w:pageBreakBefore w:val="0"/>
        <w:widowControl w:val="0"/>
        <w:kinsoku/>
        <w:wordWrap/>
        <w:topLinePunct w:val="0"/>
        <w:bidi w:val="0"/>
        <w:snapToGrid/>
        <w:spacing w:line="440" w:lineRule="exact"/>
        <w:ind w:firstLine="42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7.1.3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参照常州市工程造价计算程序确定结算单价并按投标时的让利幅度进行优惠计算，其中主要材料价格依采购人现场签证报请采购人造价审计后确定。</w:t>
      </w:r>
    </w:p>
    <w:p w14:paraId="2E02F00B">
      <w:pPr>
        <w:keepNext w:val="0"/>
        <w:keepLines w:val="0"/>
        <w:pageBreakBefore w:val="0"/>
        <w:widowControl w:val="0"/>
        <w:kinsoku/>
        <w:wordWrap/>
        <w:topLinePunct w:val="0"/>
        <w:bidi w:val="0"/>
        <w:snapToGrid/>
        <w:spacing w:line="440" w:lineRule="exact"/>
        <w:ind w:firstLine="48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7.1.4采购人反对盲目压低报价。</w:t>
      </w:r>
    </w:p>
    <w:p w14:paraId="2287E373">
      <w:pPr>
        <w:keepNext w:val="0"/>
        <w:keepLines w:val="0"/>
        <w:pageBreakBefore w:val="0"/>
        <w:widowControl w:val="0"/>
        <w:numPr>
          <w:ilvl w:val="0"/>
          <w:numId w:val="0"/>
        </w:numPr>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以工程量清单作为报价依据。各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根据预算工程量及现场实际情况，对工程量清单中子目内容进行复核，如有疑问，按照常州市建筑工程造价计算程序确定分项综合预算单价，并根据企业水平研究最终确定</w:t>
      </w:r>
      <w:r>
        <w:rPr>
          <w:rFonts w:hint="eastAsia" w:ascii="宋体" w:hAnsi="宋体" w:eastAsia="宋体" w:cs="宋体"/>
          <w:sz w:val="21"/>
          <w:szCs w:val="21"/>
          <w:highlight w:val="none"/>
          <w:lang w:eastAsia="zh-CN"/>
        </w:rPr>
        <w:t>谈判总价</w:t>
      </w:r>
      <w:r>
        <w:rPr>
          <w:rFonts w:hint="eastAsia" w:ascii="宋体" w:hAnsi="宋体" w:eastAsia="宋体" w:cs="宋体"/>
          <w:sz w:val="21"/>
          <w:szCs w:val="21"/>
          <w:highlight w:val="none"/>
        </w:rPr>
        <w:t>。</w:t>
      </w:r>
    </w:p>
    <w:p w14:paraId="097B3C85">
      <w:pPr>
        <w:keepNext w:val="0"/>
        <w:keepLines w:val="0"/>
        <w:pageBreakBefore w:val="0"/>
        <w:widowControl w:val="0"/>
        <w:numPr>
          <w:ilvl w:val="0"/>
          <w:numId w:val="0"/>
        </w:numPr>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b/>
          <w:sz w:val="21"/>
          <w:szCs w:val="21"/>
          <w:highlight w:val="none"/>
        </w:rPr>
        <w:t>*已标价工程量清单包括（根据最新工程量清单计价规范提供）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单位工程费汇总表、分部分项工程和单价措施项目清单计价表、综合单价分析表</w:t>
      </w:r>
      <w:r>
        <w:rPr>
          <w:rFonts w:hint="eastAsia" w:ascii="宋体" w:hAnsi="宋体" w:eastAsia="宋体" w:cs="宋体"/>
          <w:b/>
          <w:sz w:val="21"/>
          <w:szCs w:val="21"/>
          <w:highlight w:val="none"/>
        </w:rPr>
        <w:t>（综合单价分析表</w:t>
      </w:r>
      <w:r>
        <w:rPr>
          <w:rFonts w:hint="eastAsia" w:ascii="宋体" w:hAnsi="宋体" w:eastAsia="宋体" w:cs="宋体"/>
          <w:b/>
          <w:sz w:val="21"/>
          <w:szCs w:val="21"/>
          <w:highlight w:val="none"/>
          <w:lang w:eastAsia="zh-CN"/>
        </w:rPr>
        <w:t>响应文件</w:t>
      </w:r>
      <w:r>
        <w:rPr>
          <w:rFonts w:hint="eastAsia" w:ascii="宋体" w:hAnsi="宋体" w:eastAsia="宋体" w:cs="宋体"/>
          <w:b/>
          <w:sz w:val="21"/>
          <w:szCs w:val="21"/>
          <w:highlight w:val="none"/>
        </w:rPr>
        <w:t>中可不提供，由</w:t>
      </w:r>
      <w:r>
        <w:rPr>
          <w:rFonts w:hint="eastAsia" w:ascii="宋体" w:hAnsi="宋体" w:eastAsia="宋体" w:cs="宋体"/>
          <w:b/>
          <w:sz w:val="21"/>
          <w:szCs w:val="21"/>
          <w:highlight w:val="none"/>
          <w:lang w:eastAsia="zh-CN"/>
        </w:rPr>
        <w:t>成交供应商</w:t>
      </w:r>
      <w:r>
        <w:rPr>
          <w:rFonts w:hint="eastAsia" w:ascii="宋体" w:hAnsi="宋体" w:eastAsia="宋体" w:cs="宋体"/>
          <w:b/>
          <w:sz w:val="21"/>
          <w:szCs w:val="21"/>
          <w:highlight w:val="none"/>
        </w:rPr>
        <w:t>在签订合同前按采购人要求提供三份）</w:t>
      </w:r>
      <w:r>
        <w:rPr>
          <w:rFonts w:hint="eastAsia" w:ascii="宋体" w:hAnsi="宋体" w:eastAsia="宋体" w:cs="宋体"/>
          <w:sz w:val="21"/>
          <w:szCs w:val="21"/>
          <w:highlight w:val="none"/>
        </w:rPr>
        <w:t>、总价措施项目清单与计价表、其他项目清单与计价汇总表、暂列金额明细表、材料暂估价格表、专业工程暂估价表、规费、税金项目清单计价表、乙供主要材料及设备价格表等。</w:t>
      </w:r>
    </w:p>
    <w:p w14:paraId="6080BDAD">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7.1.5</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的编制要求：</w:t>
      </w:r>
    </w:p>
    <w:p w14:paraId="306AB0BA">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应该是按</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规定的招标范围内工程量清单所列项目的全部费用总和，是</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工程量清单及其附属资料所要求范围内的全部工作内容的价格的体现，其应包括按设计要求实施和完成本工程所需人工费、材料费、机械费、企业管理费、利润、措施项目费、规费、设计费及税金等，同时应考虑承担合同所示责任、义务和一般风险，以及可能因工程量的调整及实施项目的变更而引起的价格调整风险。</w:t>
      </w:r>
    </w:p>
    <w:p w14:paraId="0F1CE8E3">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应根据</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（含工程量清单）的有关要求，施工现场实际情况及拟定的施工方案或施工组织设计，依据企业定额和市场价格信息或参照建设行政主管部门发布的计价定额编制</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的任何优惠让利均应体现在各分部分项工程、措施项目和其他项目的综合单价中，不可竞争费不得优惠让利。</w:t>
      </w:r>
    </w:p>
    <w:p w14:paraId="2E83149B">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（3）其他项目清单中的暂列金额，虽在开标时计入</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的报价中，但不应视为</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所有。</w:t>
      </w:r>
    </w:p>
    <w:p w14:paraId="18020C6C">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工程量清单中的工程数量是按《建设工程工程量清单计价规范》（GB50500-2013）工程量计算规则进行计算的，施工中所用的材料、成品、半成品在制作、运输、安装中等发生的一切损耗应包括在报价内。工程量清单标明的工程量是</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报价的共同基础，竣工结算的工程量按发包方和承办方双方在合同约定的应予计量且实际完成的工程量确定。</w:t>
      </w:r>
    </w:p>
    <w:p w14:paraId="6DCF6BF8">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（5）不可竞争费的计取按常建【2014】279号文规定和清单、纪要的规定执行，具体为现场安全文明施工措施费、规费、税金、暂列金额、暂估价（费率见工程量清单）不得更改。</w:t>
      </w:r>
      <w:r>
        <w:rPr>
          <w:rFonts w:hint="eastAsia" w:ascii="宋体" w:hAnsi="宋体" w:eastAsia="宋体" w:cs="宋体"/>
          <w:b/>
          <w:sz w:val="21"/>
          <w:szCs w:val="21"/>
          <w:highlight w:val="none"/>
        </w:rPr>
        <w:t>“总价措施项目清单与计价表”中除安全文明施工费以外的其他费率均为可竞争费率，由</w:t>
      </w: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rPr>
        <w:t>根据各自情况自报并计入</w:t>
      </w:r>
      <w:r>
        <w:rPr>
          <w:rFonts w:hint="eastAsia" w:ascii="宋体" w:hAnsi="宋体" w:eastAsia="宋体" w:cs="宋体"/>
          <w:b/>
          <w:sz w:val="21"/>
          <w:szCs w:val="21"/>
          <w:highlight w:val="none"/>
          <w:lang w:eastAsia="zh-CN"/>
        </w:rPr>
        <w:t>谈判总价</w:t>
      </w:r>
      <w:r>
        <w:rPr>
          <w:rFonts w:hint="eastAsia" w:ascii="宋体" w:hAnsi="宋体" w:eastAsia="宋体" w:cs="宋体"/>
          <w:b/>
          <w:sz w:val="21"/>
          <w:szCs w:val="21"/>
          <w:highlight w:val="none"/>
        </w:rPr>
        <w:t>。结算时，除工程变更引起施工方案改变外，</w:t>
      </w:r>
      <w:r>
        <w:rPr>
          <w:rFonts w:hint="eastAsia" w:ascii="宋体" w:hAnsi="宋体" w:eastAsia="宋体" w:cs="宋体"/>
          <w:b/>
          <w:sz w:val="21"/>
          <w:szCs w:val="21"/>
          <w:highlight w:val="none"/>
          <w:lang w:eastAsia="zh-CN"/>
        </w:rPr>
        <w:t>成交供应商</w:t>
      </w:r>
      <w:r>
        <w:rPr>
          <w:rFonts w:hint="eastAsia" w:ascii="宋体" w:hAnsi="宋体" w:eastAsia="宋体" w:cs="宋体"/>
          <w:b/>
          <w:sz w:val="21"/>
          <w:szCs w:val="21"/>
          <w:highlight w:val="none"/>
        </w:rPr>
        <w:t>不得以招标工程措施项目清单缺项为由要求新增措施项目。</w:t>
      </w:r>
      <w:r>
        <w:rPr>
          <w:rFonts w:hint="eastAsia" w:ascii="宋体" w:hAnsi="宋体" w:eastAsia="宋体" w:cs="宋体"/>
          <w:sz w:val="21"/>
          <w:szCs w:val="21"/>
          <w:highlight w:val="none"/>
        </w:rPr>
        <w:t>特别强调：为进一步提升施工现场管理，要求施工过程中的围墙（围挡）、工地施工过程管理、渣土装载运输等，应认真落实执行相关配套文件精神，有关费用</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须在项目措施费中落实。</w:t>
      </w:r>
    </w:p>
    <w:p w14:paraId="4A275176">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应按采购人提供的工程量清单填报价格，填写的项目编码、项目名称、项目特征、计量单位、工程量必须与采购人供的一致。</w:t>
      </w:r>
    </w:p>
    <w:p w14:paraId="38B7185C">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（7）分部分项工程费应依据最新计价规范综合单价组成内容，按分部分项工程量清单项目的特征述确定综合单价。综合单价中应考虑</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中要求</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承担的风险费用。暂估单价的材料，按暂估的单价计入综合单价。</w:t>
      </w:r>
    </w:p>
    <w:p w14:paraId="06D827A4">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（8）除非采购人对</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予以修改，否则</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应按采购人提供的工程量清单中列出的工程项目和工程量填报单价和合价，每一个项目只允许有一个报价，任何有选择的报价将不予接受，工程量清单计价格式中列明的所有需要填报的单价和合价，</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均应填报，未填报的单价和合价，视为该项费用已包含在工程量清单其他单价和合价中。</w:t>
      </w:r>
    </w:p>
    <w:p w14:paraId="5AA00424">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7.1.6以暂估项目形式包括在总承包范围内的工程、货物、服务属于依法必须进行招标的项目范围且达到国家规定规模标准的，应当依法进行招标。工程量清单中材料暂估价和专业工程暂估价，由成交单位和采购人共同组织招标。</w:t>
      </w:r>
    </w:p>
    <w:p w14:paraId="65FBC06E">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7.1.7</w:t>
      </w:r>
      <w:r>
        <w:rPr>
          <w:rFonts w:hint="eastAsia" w:ascii="宋体" w:hAnsi="宋体" w:eastAsia="宋体" w:cs="宋体"/>
          <w:b/>
          <w:sz w:val="21"/>
          <w:szCs w:val="21"/>
          <w:highlight w:val="none"/>
        </w:rPr>
        <w:t>本工程工程量清单及编制说明中提供材料（设备）备选品牌（或规格、型号、产地）的，应在备选品牌（或规格、型号、产地）范围内自行选择一款并根据市场行情及自身实际情况进行组价、报价。</w:t>
      </w:r>
      <w:r>
        <w:rPr>
          <w:rFonts w:hint="eastAsia" w:ascii="宋体" w:hAnsi="宋体" w:eastAsia="宋体" w:cs="宋体"/>
          <w:sz w:val="21"/>
          <w:szCs w:val="21"/>
          <w:highlight w:val="none"/>
        </w:rPr>
        <w:t>代理机构所提供的工程量清单，应认为已包括完成本工程的所有项目。凡设计图纸已指明的工程或完成图纸所示的附属工程、相关工程、衔接与后续工程所需的费用，</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应计入相关项目的单价中。</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未填单价或合价的工程项目在实施后，采购人将不予以支付，并视为该项费用已包括在其他有价款的单价或合价内，</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必须按监理工程师的指令完成工程量清单中未填入单价或总额价的工程细目，但不能得到支付与结算。</w:t>
      </w:r>
    </w:p>
    <w:p w14:paraId="52A893BB">
      <w:pPr>
        <w:keepNext w:val="0"/>
        <w:keepLines w:val="0"/>
        <w:pageBreakBefore w:val="0"/>
        <w:widowControl w:val="0"/>
        <w:kinsoku/>
        <w:wordWrap/>
        <w:topLinePunct w:val="0"/>
        <w:bidi w:val="0"/>
        <w:snapToGrid/>
        <w:spacing w:line="44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本工程采用</w:t>
      </w:r>
      <w:r>
        <w:rPr>
          <w:rFonts w:hint="eastAsia" w:ascii="宋体" w:hAnsi="宋体" w:eastAsia="宋体" w:cs="宋体"/>
          <w:b/>
          <w:sz w:val="21"/>
          <w:szCs w:val="21"/>
          <w:highlight w:val="none"/>
          <w:u w:val="single"/>
        </w:rPr>
        <w:t>固定综合单价</w:t>
      </w:r>
      <w:r>
        <w:rPr>
          <w:rFonts w:hint="eastAsia" w:ascii="宋体" w:hAnsi="宋体" w:eastAsia="宋体" w:cs="宋体"/>
          <w:b/>
          <w:sz w:val="21"/>
          <w:szCs w:val="21"/>
          <w:highlight w:val="none"/>
          <w:u w:val="single"/>
          <w:lang w:val="en-US" w:eastAsia="zh-CN"/>
        </w:rPr>
        <w:t>承包</w:t>
      </w:r>
      <w:r>
        <w:rPr>
          <w:rFonts w:hint="eastAsia" w:ascii="宋体" w:hAnsi="宋体" w:eastAsia="宋体" w:cs="宋体"/>
          <w:b/>
          <w:sz w:val="21"/>
          <w:szCs w:val="21"/>
          <w:highlight w:val="none"/>
        </w:rPr>
        <w:t>。</w:t>
      </w:r>
    </w:p>
    <w:p w14:paraId="23956A49">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本工程的最高限价为</w:t>
      </w:r>
      <w:r>
        <w:rPr>
          <w:rFonts w:hint="eastAsia" w:ascii="宋体" w:hAnsi="宋体" w:cs="宋体"/>
          <w:b/>
          <w:bCs/>
          <w:szCs w:val="21"/>
          <w:highlight w:val="none"/>
          <w:u w:val="single"/>
          <w:lang w:val="en-US" w:eastAsia="zh-CN"/>
        </w:rPr>
        <w:t>人民币伍拾贰万伍仟伍佰贰拾肆元玖角玖分（¥525.524.99）</w:t>
      </w:r>
      <w:r>
        <w:rPr>
          <w:rFonts w:hint="eastAsia" w:ascii="宋体" w:hAnsi="宋体" w:eastAsia="宋体" w:cs="宋体"/>
          <w:sz w:val="21"/>
          <w:szCs w:val="21"/>
          <w:highlight w:val="none"/>
        </w:rPr>
        <w:t>，</w:t>
      </w: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rPr>
        <w:t>的</w:t>
      </w:r>
      <w:r>
        <w:rPr>
          <w:rFonts w:hint="eastAsia" w:ascii="宋体" w:hAnsi="宋体" w:eastAsia="宋体" w:cs="宋体"/>
          <w:b/>
          <w:sz w:val="21"/>
          <w:szCs w:val="21"/>
          <w:highlight w:val="none"/>
          <w:lang w:eastAsia="zh-CN"/>
        </w:rPr>
        <w:t>谈判总价</w:t>
      </w:r>
      <w:r>
        <w:rPr>
          <w:rFonts w:hint="eastAsia" w:ascii="宋体" w:hAnsi="宋体" w:eastAsia="宋体" w:cs="宋体"/>
          <w:b/>
          <w:sz w:val="21"/>
          <w:szCs w:val="21"/>
          <w:highlight w:val="none"/>
        </w:rPr>
        <w:t>不得高于最高限价</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lang w:eastAsia="zh-CN"/>
        </w:rPr>
        <w:t>谈判报价</w:t>
      </w:r>
      <w:r>
        <w:rPr>
          <w:rFonts w:hint="eastAsia" w:ascii="宋体" w:hAnsi="宋体" w:eastAsia="宋体" w:cs="宋体"/>
          <w:b/>
          <w:sz w:val="21"/>
          <w:szCs w:val="21"/>
          <w:highlight w:val="none"/>
        </w:rPr>
        <w:t>中各项清单单价不得高于控制价清单单价，</w:t>
      </w:r>
      <w:r>
        <w:rPr>
          <w:rFonts w:hint="eastAsia" w:ascii="宋体" w:hAnsi="宋体" w:eastAsia="宋体" w:cs="宋体"/>
          <w:sz w:val="21"/>
          <w:szCs w:val="21"/>
          <w:highlight w:val="none"/>
        </w:rPr>
        <w:t>否则作为无效投标处理。</w:t>
      </w:r>
    </w:p>
    <w:p w14:paraId="538CCC05">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本项目</w:t>
      </w:r>
      <w:r>
        <w:rPr>
          <w:rFonts w:hint="eastAsia" w:ascii="宋体" w:hAnsi="宋体" w:eastAsia="宋体" w:cs="宋体"/>
          <w:b/>
          <w:sz w:val="21"/>
          <w:szCs w:val="21"/>
          <w:highlight w:val="none"/>
          <w:lang w:val="en-US" w:eastAsia="zh-CN"/>
        </w:rPr>
        <w:t>谈判</w:t>
      </w:r>
      <w:r>
        <w:rPr>
          <w:rFonts w:hint="eastAsia" w:ascii="宋体" w:hAnsi="宋体" w:eastAsia="宋体" w:cs="宋体"/>
          <w:b/>
          <w:sz w:val="21"/>
          <w:szCs w:val="21"/>
          <w:highlight w:val="none"/>
        </w:rPr>
        <w:t>规则：至少二次报价，响应文件的</w:t>
      </w:r>
      <w:r>
        <w:rPr>
          <w:rFonts w:hint="eastAsia" w:ascii="宋体" w:hAnsi="宋体" w:eastAsia="宋体" w:cs="宋体"/>
          <w:b/>
          <w:sz w:val="21"/>
          <w:szCs w:val="21"/>
          <w:highlight w:val="none"/>
          <w:lang w:eastAsia="zh-CN"/>
        </w:rPr>
        <w:t>谈判报价</w:t>
      </w:r>
      <w:r>
        <w:rPr>
          <w:rFonts w:hint="eastAsia" w:ascii="宋体" w:hAnsi="宋体" w:eastAsia="宋体" w:cs="宋体"/>
          <w:b/>
          <w:sz w:val="21"/>
          <w:szCs w:val="21"/>
          <w:highlight w:val="none"/>
        </w:rPr>
        <w:t>作为首次报价，在资格性及符合性评审结束后，所有符合继续参加</w:t>
      </w:r>
      <w:r>
        <w:rPr>
          <w:rFonts w:hint="eastAsia" w:ascii="宋体" w:hAnsi="宋体" w:eastAsia="宋体" w:cs="宋体"/>
          <w:b/>
          <w:sz w:val="21"/>
          <w:szCs w:val="21"/>
          <w:highlight w:val="none"/>
          <w:lang w:eastAsia="zh-CN"/>
        </w:rPr>
        <w:t>谈判</w:t>
      </w:r>
      <w:r>
        <w:rPr>
          <w:rFonts w:hint="eastAsia" w:ascii="宋体" w:hAnsi="宋体" w:eastAsia="宋体" w:cs="宋体"/>
          <w:b/>
          <w:sz w:val="21"/>
          <w:szCs w:val="21"/>
          <w:highlight w:val="none"/>
        </w:rPr>
        <w:t>条件的供应商在规定时间内提交最终</w:t>
      </w:r>
      <w:r>
        <w:rPr>
          <w:rFonts w:hint="eastAsia" w:ascii="宋体" w:hAnsi="宋体" w:eastAsia="宋体" w:cs="宋体"/>
          <w:b/>
          <w:sz w:val="21"/>
          <w:szCs w:val="21"/>
          <w:highlight w:val="none"/>
          <w:lang w:val="en-US" w:eastAsia="zh-CN"/>
        </w:rPr>
        <w:t>报价</w:t>
      </w:r>
      <w:r>
        <w:rPr>
          <w:rFonts w:hint="eastAsia" w:ascii="宋体" w:hAnsi="宋体" w:eastAsia="宋体" w:cs="宋体"/>
          <w:b/>
          <w:sz w:val="21"/>
          <w:szCs w:val="21"/>
          <w:highlight w:val="none"/>
        </w:rPr>
        <w:t>，最终</w:t>
      </w:r>
      <w:r>
        <w:rPr>
          <w:rFonts w:hint="eastAsia" w:ascii="宋体" w:hAnsi="宋体" w:eastAsia="宋体" w:cs="宋体"/>
          <w:b/>
          <w:sz w:val="21"/>
          <w:szCs w:val="21"/>
          <w:highlight w:val="none"/>
          <w:lang w:val="en-US" w:eastAsia="zh-CN"/>
        </w:rPr>
        <w:t>报价</w:t>
      </w:r>
      <w:r>
        <w:rPr>
          <w:rFonts w:hint="eastAsia" w:ascii="宋体" w:hAnsi="宋体" w:eastAsia="宋体" w:cs="宋体"/>
          <w:b/>
          <w:sz w:val="21"/>
          <w:szCs w:val="21"/>
          <w:highlight w:val="none"/>
        </w:rPr>
        <w:t>作为评分依据。</w:t>
      </w:r>
    </w:p>
    <w:p w14:paraId="3D3543A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提交的最终</w:t>
      </w:r>
      <w:r>
        <w:rPr>
          <w:rFonts w:hint="eastAsia" w:ascii="宋体" w:hAnsi="宋体" w:eastAsia="宋体" w:cs="宋体"/>
          <w:b/>
          <w:sz w:val="21"/>
          <w:szCs w:val="21"/>
          <w:highlight w:val="none"/>
          <w:lang w:val="en-US" w:eastAsia="zh-CN"/>
        </w:rPr>
        <w:t>报价</w:t>
      </w:r>
      <w:r>
        <w:rPr>
          <w:rFonts w:hint="eastAsia" w:ascii="宋体" w:hAnsi="宋体" w:eastAsia="宋体" w:cs="宋体"/>
          <w:b/>
          <w:sz w:val="21"/>
          <w:szCs w:val="21"/>
          <w:highlight w:val="none"/>
        </w:rPr>
        <w:t>不得高于供应商的首次</w:t>
      </w:r>
      <w:r>
        <w:rPr>
          <w:rFonts w:hint="eastAsia" w:ascii="宋体" w:hAnsi="宋体" w:eastAsia="宋体" w:cs="宋体"/>
          <w:b/>
          <w:sz w:val="21"/>
          <w:szCs w:val="21"/>
          <w:highlight w:val="none"/>
          <w:lang w:val="en-US" w:eastAsia="zh-CN"/>
        </w:rPr>
        <w:t>报价,否则做无效响应处理。</w:t>
      </w:r>
    </w:p>
    <w:p w14:paraId="653EFAB8">
      <w:pPr>
        <w:pStyle w:val="13"/>
        <w:rPr>
          <w:rFonts w:hint="eastAsia"/>
          <w:b/>
          <w:bCs/>
          <w:highlight w:val="none"/>
        </w:rPr>
      </w:pPr>
      <w:r>
        <w:rPr>
          <w:rFonts w:hint="eastAsia"/>
          <w:b/>
          <w:bCs/>
          <w:highlight w:val="none"/>
        </w:rPr>
        <w:t>结算综合单价=（中标金额-不可竞争费）/（首次总报价-不可竞争费）*首次综合单价。</w:t>
      </w:r>
    </w:p>
    <w:p w14:paraId="157E348E">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8、响应文件的组成</w:t>
      </w:r>
    </w:p>
    <w:p w14:paraId="667D4879">
      <w:pPr>
        <w:keepNext w:val="0"/>
        <w:keepLines w:val="0"/>
        <w:pageBreakBefore w:val="0"/>
        <w:wordWrap/>
        <w:topLinePunct w:val="0"/>
        <w:bidi w:val="0"/>
        <w:snapToGrid/>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详见第二章《响应文件的组成》</w:t>
      </w:r>
    </w:p>
    <w:p w14:paraId="7ABF039A">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9、谈判保证金</w:t>
      </w:r>
    </w:p>
    <w:p w14:paraId="0F2447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9.1</w:t>
      </w:r>
      <w:r>
        <w:rPr>
          <w:rFonts w:hint="eastAsia" w:ascii="宋体" w:hAnsi="宋体" w:eastAsia="宋体" w:cs="宋体"/>
          <w:color w:val="000000"/>
          <w:szCs w:val="21"/>
          <w:highlight w:val="none"/>
          <w:lang w:eastAsia="zh-CN"/>
        </w:rPr>
        <w:t>谈判保证金</w:t>
      </w:r>
      <w:r>
        <w:rPr>
          <w:rFonts w:hint="eastAsia" w:ascii="宋体" w:hAnsi="宋体" w:eastAsia="宋体" w:cs="宋体"/>
          <w:color w:val="000000"/>
          <w:szCs w:val="21"/>
          <w:highlight w:val="none"/>
        </w:rPr>
        <w:t>是</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的一个组成部分，</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须按规定从对公账户缴纳。未按要求缴纳保证金的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，将视为无效响应。</w:t>
      </w:r>
    </w:p>
    <w:p w14:paraId="01A8F7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9.2未中标的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的保证金在本项目成交公示次日起</w:t>
      </w:r>
      <w:r>
        <w:rPr>
          <w:rFonts w:hint="eastAsia" w:ascii="宋体" w:hAnsi="宋体" w:eastAsia="宋体" w:cs="宋体"/>
          <w:b/>
          <w:bCs/>
          <w:color w:val="000000"/>
          <w:szCs w:val="21"/>
          <w:highlight w:val="none"/>
        </w:rPr>
        <w:t>五</w:t>
      </w:r>
      <w:r>
        <w:rPr>
          <w:rFonts w:hint="eastAsia" w:ascii="宋体" w:hAnsi="宋体" w:eastAsia="宋体" w:cs="宋体"/>
          <w:color w:val="000000"/>
          <w:szCs w:val="21"/>
          <w:highlight w:val="none"/>
        </w:rPr>
        <w:t>个工作日后无息退回。</w:t>
      </w:r>
    </w:p>
    <w:p w14:paraId="2D721C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9.3</w:t>
      </w:r>
      <w:r>
        <w:rPr>
          <w:rFonts w:hint="eastAsia" w:ascii="宋体" w:hAnsi="宋体" w:eastAsia="宋体" w:cs="宋体"/>
          <w:color w:val="000000"/>
          <w:szCs w:val="21"/>
          <w:highlight w:val="none"/>
          <w:lang w:eastAsia="zh-CN"/>
        </w:rPr>
        <w:t>成交供应商</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谈判保证金</w:t>
      </w:r>
      <w:r>
        <w:rPr>
          <w:rFonts w:hint="eastAsia" w:ascii="宋体" w:hAnsi="宋体" w:eastAsia="宋体" w:cs="宋体"/>
          <w:color w:val="000000"/>
          <w:szCs w:val="21"/>
          <w:highlight w:val="none"/>
        </w:rPr>
        <w:t>，在其缴纳履约保证金并签订合同，合同经代理机构</w:t>
      </w:r>
      <w:r>
        <w:rPr>
          <w:rFonts w:hint="eastAsia" w:ascii="宋体" w:hAnsi="宋体" w:eastAsia="宋体" w:cs="宋体"/>
          <w:color w:val="000000"/>
          <w:szCs w:val="21"/>
          <w:highlight w:val="none"/>
          <w:lang w:eastAsia="zh-CN"/>
        </w:rPr>
        <w:t>见证</w:t>
      </w:r>
      <w:r>
        <w:rPr>
          <w:rFonts w:hint="eastAsia" w:ascii="宋体" w:hAnsi="宋体" w:eastAsia="宋体" w:cs="宋体"/>
          <w:color w:val="000000"/>
          <w:szCs w:val="21"/>
          <w:highlight w:val="none"/>
        </w:rPr>
        <w:t>之日起五个工作日内无息退还。</w:t>
      </w:r>
    </w:p>
    <w:p w14:paraId="522F206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有下列情况之一的将被没收其</w:t>
      </w:r>
      <w:r>
        <w:rPr>
          <w:rFonts w:hint="eastAsia" w:ascii="宋体" w:hAnsi="宋体" w:eastAsia="宋体" w:cs="宋体"/>
          <w:color w:val="000000"/>
          <w:szCs w:val="21"/>
          <w:highlight w:val="none"/>
          <w:lang w:eastAsia="zh-CN"/>
        </w:rPr>
        <w:t>谈判保证金</w:t>
      </w:r>
      <w:r>
        <w:rPr>
          <w:rFonts w:hint="eastAsia" w:ascii="宋体" w:hAnsi="宋体" w:eastAsia="宋体" w:cs="宋体"/>
          <w:color w:val="000000"/>
          <w:szCs w:val="21"/>
          <w:highlight w:val="none"/>
        </w:rPr>
        <w:t>：</w:t>
      </w:r>
    </w:p>
    <w:p w14:paraId="0B0CA3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9.4.1</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在投标有效期内撤回或修改其</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w:t>
      </w:r>
    </w:p>
    <w:p w14:paraId="5BB907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9.4.2</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的弄虚作假等不诚信、违法行为导致成交被依法依规确认无效的（包括成交公示期间）；</w:t>
      </w:r>
    </w:p>
    <w:p w14:paraId="7F3948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9.4.3</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成交后，无正当理由拒签合同协议书或未按</w:t>
      </w:r>
      <w:r>
        <w:rPr>
          <w:rFonts w:hint="eastAsia" w:ascii="宋体" w:hAnsi="宋体" w:eastAsia="宋体" w:cs="宋体"/>
          <w:color w:val="000000"/>
          <w:szCs w:val="21"/>
          <w:highlight w:val="none"/>
          <w:lang w:eastAsia="zh-CN"/>
        </w:rPr>
        <w:t>谈判文件</w:t>
      </w:r>
      <w:r>
        <w:rPr>
          <w:rFonts w:hint="eastAsia" w:ascii="宋体" w:hAnsi="宋体" w:eastAsia="宋体" w:cs="宋体"/>
          <w:color w:val="000000"/>
          <w:szCs w:val="21"/>
          <w:highlight w:val="none"/>
        </w:rPr>
        <w:t>规定提交履约担保；</w:t>
      </w:r>
    </w:p>
    <w:p w14:paraId="519A51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9.4.4已交纳保证金的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无正当理由且</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文件递交截止时间前1日未以书面形式</w:t>
      </w:r>
      <w:r>
        <w:rPr>
          <w:rFonts w:hint="eastAsia" w:ascii="宋体" w:hAnsi="宋体" w:eastAsia="宋体" w:cs="宋体"/>
          <w:color w:val="000000"/>
          <w:szCs w:val="21"/>
          <w:highlight w:val="none"/>
          <w:lang w:eastAsia="zh-CN"/>
        </w:rPr>
        <w:t>向</w:t>
      </w:r>
      <w:r>
        <w:rPr>
          <w:rFonts w:hint="eastAsia" w:ascii="宋体" w:hAnsi="宋体" w:eastAsia="宋体" w:cs="宋体"/>
          <w:color w:val="000000"/>
          <w:szCs w:val="21"/>
          <w:highlight w:val="none"/>
        </w:rPr>
        <w:t>代理机构递交说明，未准时参与投标的；</w:t>
      </w:r>
    </w:p>
    <w:p w14:paraId="6A94DC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9.4.5法律法规认定的其他情形。</w:t>
      </w:r>
    </w:p>
    <w:p w14:paraId="097DC347">
      <w:pPr>
        <w:keepNext w:val="0"/>
        <w:keepLines w:val="0"/>
        <w:pageBreakBefore w:val="0"/>
        <w:wordWrap/>
        <w:topLinePunct w:val="0"/>
        <w:bidi w:val="0"/>
        <w:snapToGrid/>
        <w:spacing w:line="440" w:lineRule="exact"/>
        <w:rPr>
          <w:rFonts w:hint="eastAsia" w:ascii="宋体" w:hAnsi="宋体" w:eastAsia="宋体" w:cs="宋体"/>
          <w:szCs w:val="21"/>
          <w:highlight w:val="none"/>
          <w:lang w:val="en-US" w:eastAsia="zh-CN"/>
        </w:rPr>
      </w:pPr>
      <w:r>
        <w:rPr>
          <w:rFonts w:hint="eastAsia" w:ascii="宋体" w:hAnsi="宋体" w:eastAsia="宋体" w:cs="宋体"/>
          <w:b/>
          <w:szCs w:val="21"/>
          <w:highlight w:val="none"/>
        </w:rPr>
        <w:t>10、响应文件的制作</w:t>
      </w:r>
      <w:r>
        <w:rPr>
          <w:rFonts w:hint="eastAsia" w:ascii="宋体" w:hAnsi="宋体" w:eastAsia="宋体" w:cs="宋体"/>
          <w:b/>
          <w:szCs w:val="21"/>
          <w:highlight w:val="none"/>
          <w:lang w:val="en-US" w:eastAsia="zh-CN"/>
        </w:rPr>
        <w:t>要求</w:t>
      </w:r>
    </w:p>
    <w:p w14:paraId="1D7994C4">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10.l供应商应提交</w:t>
      </w:r>
      <w:r>
        <w:rPr>
          <w:rFonts w:hint="eastAsia" w:ascii="宋体" w:hAnsi="宋体" w:eastAsia="宋体" w:cs="宋体"/>
          <w:b/>
          <w:bCs/>
          <w:szCs w:val="21"/>
          <w:highlight w:val="none"/>
          <w:lang w:val="en-US" w:eastAsia="zh-CN"/>
        </w:rPr>
        <w:t>装订</w:t>
      </w:r>
      <w:r>
        <w:rPr>
          <w:rFonts w:hint="eastAsia" w:ascii="宋体" w:hAnsi="宋体" w:eastAsia="宋体" w:cs="宋体"/>
          <w:szCs w:val="21"/>
          <w:highlight w:val="none"/>
        </w:rPr>
        <w:t>的响应文件</w:t>
      </w:r>
      <w:r>
        <w:rPr>
          <w:rFonts w:hint="eastAsia" w:ascii="宋体" w:hAnsi="宋体" w:eastAsia="宋体" w:cs="宋体"/>
          <w:b/>
          <w:bCs/>
          <w:szCs w:val="21"/>
          <w:highlight w:val="none"/>
        </w:rPr>
        <w:t>壹份“正本”</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贰份“副本”</w:t>
      </w:r>
      <w:r>
        <w:rPr>
          <w:rFonts w:hint="eastAsia" w:ascii="宋体" w:hAnsi="宋体" w:eastAsia="宋体" w:cs="宋体"/>
          <w:b/>
          <w:bCs/>
          <w:szCs w:val="21"/>
          <w:highlight w:val="none"/>
          <w:lang w:eastAsia="zh-CN"/>
        </w:rPr>
        <w:t>。</w:t>
      </w:r>
      <w:r>
        <w:rPr>
          <w:rFonts w:hint="eastAsia" w:ascii="宋体" w:hAnsi="宋体" w:eastAsia="宋体" w:cs="宋体"/>
          <w:szCs w:val="21"/>
          <w:highlight w:val="none"/>
        </w:rPr>
        <w:t>响应文件正本和副本如有不一致之处，以正本为准。</w:t>
      </w:r>
    </w:p>
    <w:p w14:paraId="1259A1D6">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b w:val="0"/>
          <w:bCs w:val="0"/>
          <w:szCs w:val="21"/>
          <w:highlight w:val="none"/>
        </w:rPr>
        <w:t>10.2</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正本、副本必须全部是打印件。</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应按照要求，在规定的地方加盖单位公章以及</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法定代表人（或其代理人）签字。</w:t>
      </w:r>
    </w:p>
    <w:p w14:paraId="56A595D5">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10.3</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应无涂改和行间插字，</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造成的必须修改的错误，修改处须加盖供应商公章，并由供应商法定代表人或代理人签字或盖章，否则修改无效。</w:t>
      </w:r>
    </w:p>
    <w:p w14:paraId="52CD1A58">
      <w:pPr>
        <w:keepNext w:val="0"/>
        <w:keepLines w:val="0"/>
        <w:pageBreakBefore w:val="0"/>
        <w:wordWrap/>
        <w:topLinePunct w:val="0"/>
        <w:bidi w:val="0"/>
        <w:snapToGrid/>
        <w:spacing w:line="44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10.</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本文件所表述的公章是指法定名称章，不包括合同专用章、业务专用章、部门专用章、财务专用章等印章。</w:t>
      </w:r>
      <w:r>
        <w:rPr>
          <w:rFonts w:hint="eastAsia" w:ascii="宋体" w:hAnsi="宋体" w:eastAsia="宋体" w:cs="宋体"/>
          <w:b/>
          <w:bCs/>
          <w:color w:val="auto"/>
          <w:szCs w:val="21"/>
          <w:highlight w:val="none"/>
          <w:lang w:val="en-US" w:eastAsia="zh-CN"/>
        </w:rPr>
        <w:t>盖章是指加盖鲜章。</w:t>
      </w:r>
    </w:p>
    <w:p w14:paraId="6C3D2D3A">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11、响应文件的有效期</w:t>
      </w:r>
    </w:p>
    <w:p w14:paraId="25BFC591">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投标有效期为规定的开标之日后</w:t>
      </w:r>
      <w:r>
        <w:rPr>
          <w:rFonts w:hint="eastAsia" w:ascii="宋体" w:hAnsi="宋体" w:eastAsia="宋体" w:cs="宋体"/>
          <w:b/>
          <w:bCs/>
          <w:szCs w:val="21"/>
          <w:highlight w:val="none"/>
          <w:u w:val="single"/>
        </w:rPr>
        <w:t>六十（60）天</w:t>
      </w:r>
      <w:r>
        <w:rPr>
          <w:rFonts w:hint="eastAsia" w:ascii="宋体" w:hAnsi="宋体" w:eastAsia="宋体" w:cs="宋体"/>
          <w:szCs w:val="21"/>
          <w:highlight w:val="none"/>
        </w:rPr>
        <w:t>。</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应保持有效。有效期短于这个规定期限的响应将被</w:t>
      </w:r>
      <w:r>
        <w:rPr>
          <w:rFonts w:hint="eastAsia" w:ascii="宋体" w:hAnsi="宋体" w:eastAsia="宋体" w:cs="宋体"/>
          <w:szCs w:val="21"/>
          <w:highlight w:val="none"/>
          <w:lang w:val="en-US" w:eastAsia="zh-CN"/>
        </w:rPr>
        <w:t>视为无效响应而</w:t>
      </w:r>
      <w:r>
        <w:rPr>
          <w:rFonts w:hint="eastAsia" w:ascii="宋体" w:hAnsi="宋体" w:eastAsia="宋体" w:cs="宋体"/>
          <w:szCs w:val="21"/>
          <w:highlight w:val="none"/>
        </w:rPr>
        <w:t>予以拒绝。</w:t>
      </w:r>
    </w:p>
    <w:p w14:paraId="3C5D2F66">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12、响应文件的密封、装订与标志</w:t>
      </w:r>
    </w:p>
    <w:p w14:paraId="29EEEF77">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12.1供应商应将响应文件</w:t>
      </w:r>
      <w:r>
        <w:rPr>
          <w:rFonts w:hint="eastAsia" w:ascii="宋体" w:hAnsi="宋体" w:eastAsia="宋体" w:cs="宋体"/>
          <w:b/>
          <w:bCs/>
          <w:szCs w:val="21"/>
          <w:highlight w:val="none"/>
        </w:rPr>
        <w:t>正副本分开独立密封，</w:t>
      </w:r>
      <w:r>
        <w:rPr>
          <w:rFonts w:hint="eastAsia" w:ascii="宋体" w:hAnsi="宋体" w:eastAsia="宋体" w:cs="宋体"/>
          <w:szCs w:val="21"/>
          <w:highlight w:val="none"/>
        </w:rPr>
        <w:t>所有封袋上都应当加盖供应商公章。</w:t>
      </w:r>
    </w:p>
    <w:p w14:paraId="23348781">
      <w:pPr>
        <w:keepNext w:val="0"/>
        <w:keepLines w:val="0"/>
        <w:pageBreakBefore w:val="0"/>
        <w:wordWrap/>
        <w:topLinePunct w:val="0"/>
        <w:bidi w:val="0"/>
        <w:snapToGrid/>
        <w:spacing w:line="440" w:lineRule="exact"/>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12.2</w:t>
      </w:r>
      <w:r>
        <w:rPr>
          <w:rFonts w:hint="eastAsia" w:ascii="宋体" w:hAnsi="宋体" w:eastAsia="宋体" w:cs="宋体"/>
          <w:b/>
          <w:bCs/>
          <w:szCs w:val="21"/>
          <w:highlight w:val="none"/>
        </w:rPr>
        <w:t>所有封袋上都必须正确写明：正副本情况、项目编号、项目名称、供应商名称、供应商法定代表人或其授权委托人名称字样。</w:t>
      </w:r>
    </w:p>
    <w:p w14:paraId="5DCB5D4E">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12.3供应商未按上述规定提交响应文件，其响应文件将被拒绝。</w:t>
      </w:r>
    </w:p>
    <w:p w14:paraId="1106EDFB">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13、</w:t>
      </w:r>
      <w:r>
        <w:rPr>
          <w:rFonts w:hint="eastAsia" w:ascii="宋体" w:hAnsi="宋体" w:eastAsia="宋体" w:cs="宋体"/>
          <w:b/>
          <w:szCs w:val="21"/>
          <w:highlight w:val="none"/>
          <w:lang w:eastAsia="zh-CN"/>
        </w:rPr>
        <w:t>响应文件</w:t>
      </w:r>
      <w:r>
        <w:rPr>
          <w:rFonts w:hint="eastAsia" w:ascii="宋体" w:hAnsi="宋体" w:eastAsia="宋体" w:cs="宋体"/>
          <w:b/>
          <w:szCs w:val="21"/>
          <w:highlight w:val="none"/>
        </w:rPr>
        <w:t>提交截止时间及地点</w:t>
      </w:r>
    </w:p>
    <w:p w14:paraId="641CC5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13.1</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应在规定的截止日期和时间之前将</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提交至竞争性</w:t>
      </w:r>
      <w:r>
        <w:rPr>
          <w:rFonts w:hint="eastAsia" w:ascii="宋体" w:hAnsi="宋体" w:eastAsia="宋体" w:cs="宋体"/>
          <w:szCs w:val="21"/>
          <w:highlight w:val="none"/>
          <w:lang w:eastAsia="zh-CN"/>
        </w:rPr>
        <w:t>谈判公告</w:t>
      </w:r>
      <w:r>
        <w:rPr>
          <w:rFonts w:hint="eastAsia" w:ascii="宋体" w:hAnsi="宋体" w:eastAsia="宋体" w:cs="宋体"/>
          <w:szCs w:val="21"/>
          <w:highlight w:val="none"/>
        </w:rPr>
        <w:t>中注明的地点，凡逾期送达的</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将</w:t>
      </w:r>
      <w:r>
        <w:rPr>
          <w:rFonts w:hint="eastAsia" w:ascii="宋体" w:hAnsi="宋体" w:eastAsia="宋体" w:cs="宋体"/>
          <w:szCs w:val="21"/>
          <w:highlight w:val="none"/>
          <w:lang w:eastAsia="zh-CN"/>
        </w:rPr>
        <w:t>作</w:t>
      </w:r>
      <w:r>
        <w:rPr>
          <w:rFonts w:hint="eastAsia" w:ascii="宋体" w:hAnsi="宋体" w:eastAsia="宋体" w:cs="宋体"/>
          <w:szCs w:val="21"/>
          <w:highlight w:val="none"/>
        </w:rPr>
        <w:t>为无效</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处理。</w:t>
      </w:r>
    </w:p>
    <w:p w14:paraId="3563DBF1">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30" w:firstLineChars="200"/>
        <w:textAlignment w:val="auto"/>
        <w:rPr>
          <w:rFonts w:hint="eastAsia" w:ascii="宋体" w:hAnsi="宋体" w:eastAsia="宋体" w:cs="宋体"/>
          <w:highlight w:val="none"/>
        </w:rPr>
      </w:pPr>
      <w:r>
        <w:rPr>
          <w:rFonts w:hint="eastAsia" w:ascii="宋体" w:hAnsi="宋体" w:eastAsia="宋体" w:cs="宋体"/>
          <w:b/>
          <w:bCs/>
          <w:i w:val="0"/>
          <w:iCs w:val="0"/>
          <w:szCs w:val="21"/>
          <w:highlight w:val="none"/>
        </w:rPr>
        <w:t>13.2</w:t>
      </w:r>
      <w:r>
        <w:rPr>
          <w:rFonts w:hint="eastAsia" w:ascii="宋体" w:hAnsi="宋体" w:eastAsia="宋体" w:cs="宋体"/>
          <w:b/>
          <w:bCs/>
          <w:i w:val="0"/>
          <w:iCs w:val="0"/>
          <w:szCs w:val="21"/>
          <w:highlight w:val="none"/>
          <w:lang w:eastAsia="zh-CN"/>
        </w:rPr>
        <w:t>供应商</w:t>
      </w:r>
      <w:r>
        <w:rPr>
          <w:rFonts w:hint="eastAsia" w:ascii="宋体" w:hAnsi="宋体" w:eastAsia="宋体" w:cs="宋体"/>
          <w:b/>
          <w:bCs/>
          <w:i w:val="0"/>
          <w:iCs w:val="0"/>
          <w:szCs w:val="21"/>
          <w:highlight w:val="none"/>
        </w:rPr>
        <w:t>在递交</w:t>
      </w:r>
      <w:r>
        <w:rPr>
          <w:rFonts w:hint="eastAsia" w:ascii="宋体" w:hAnsi="宋体" w:eastAsia="宋体" w:cs="宋体"/>
          <w:b/>
          <w:bCs/>
          <w:i w:val="0"/>
          <w:iCs w:val="0"/>
          <w:szCs w:val="21"/>
          <w:highlight w:val="none"/>
          <w:lang w:eastAsia="zh-CN"/>
        </w:rPr>
        <w:t>响应文件</w:t>
      </w:r>
      <w:r>
        <w:rPr>
          <w:rFonts w:hint="eastAsia" w:ascii="宋体" w:hAnsi="宋体" w:eastAsia="宋体" w:cs="宋体"/>
          <w:b/>
          <w:bCs/>
          <w:i w:val="0"/>
          <w:iCs w:val="0"/>
          <w:szCs w:val="21"/>
          <w:highlight w:val="none"/>
        </w:rPr>
        <w:t>时须提供有效的法定代表人或代理人身份证原件</w:t>
      </w:r>
      <w:r>
        <w:rPr>
          <w:rFonts w:hint="eastAsia" w:ascii="宋体" w:hAnsi="宋体" w:eastAsia="宋体" w:cs="宋体"/>
          <w:b/>
          <w:bCs/>
          <w:szCs w:val="21"/>
          <w:highlight w:val="none"/>
          <w:lang w:eastAsia="zh-CN"/>
        </w:rPr>
        <w:t>，</w:t>
      </w:r>
      <w:r>
        <w:rPr>
          <w:rFonts w:hint="eastAsia" w:ascii="宋体" w:hAnsi="宋体" w:eastAsia="宋体" w:cs="宋体"/>
          <w:b/>
          <w:bCs/>
          <w:i w:val="0"/>
          <w:iCs w:val="0"/>
          <w:szCs w:val="21"/>
          <w:highlight w:val="none"/>
        </w:rPr>
        <w:t>未提供的，代理机构不接收其</w:t>
      </w:r>
      <w:r>
        <w:rPr>
          <w:rFonts w:hint="eastAsia" w:ascii="宋体" w:hAnsi="宋体" w:eastAsia="宋体" w:cs="宋体"/>
          <w:b/>
          <w:bCs/>
          <w:i w:val="0"/>
          <w:iCs w:val="0"/>
          <w:szCs w:val="21"/>
          <w:highlight w:val="none"/>
          <w:lang w:eastAsia="zh-CN"/>
        </w:rPr>
        <w:t>响应文件</w:t>
      </w:r>
      <w:r>
        <w:rPr>
          <w:rFonts w:hint="eastAsia" w:ascii="宋体" w:hAnsi="宋体" w:eastAsia="宋体" w:cs="宋体"/>
          <w:b/>
          <w:bCs/>
          <w:i w:val="0"/>
          <w:iCs w:val="0"/>
          <w:szCs w:val="21"/>
          <w:highlight w:val="none"/>
        </w:rPr>
        <w:t>。</w:t>
      </w:r>
    </w:p>
    <w:p w14:paraId="7D5667B9">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14、响应文件的修改和撤回</w:t>
      </w:r>
    </w:p>
    <w:p w14:paraId="504003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14.1</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在递交</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后，可以修改或撤回其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，但这种修改和撤回，必须在规定的投标截止时间前，以书面形式通知代理机构，修改或撤回其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w:t>
      </w:r>
    </w:p>
    <w:p w14:paraId="49160F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的修改或撤回文件应按规定进行编制、密封、标记和发送，并应在封套上加注“修改”或“撤回”字样。上述补充或修改若涉及</w:t>
      </w:r>
      <w:r>
        <w:rPr>
          <w:rFonts w:hint="eastAsia" w:ascii="宋体" w:hAnsi="宋体" w:eastAsia="宋体" w:cs="宋体"/>
          <w:szCs w:val="21"/>
          <w:highlight w:val="none"/>
          <w:lang w:eastAsia="zh-CN"/>
        </w:rPr>
        <w:t>谈判报价</w:t>
      </w:r>
      <w:r>
        <w:rPr>
          <w:rFonts w:hint="eastAsia" w:ascii="宋体" w:hAnsi="宋体" w:eastAsia="宋体" w:cs="宋体"/>
          <w:szCs w:val="21"/>
          <w:highlight w:val="none"/>
        </w:rPr>
        <w:t>，必须注明“最后唯一报价”字样，否则将视为有选择的报价。修改文件必须在投标截止时间前送达代理机构。</w:t>
      </w:r>
    </w:p>
    <w:p w14:paraId="50BC99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14.3在投标截止时间之后，</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不得对其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作任何修改。</w:t>
      </w:r>
    </w:p>
    <w:p w14:paraId="494579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14.4在投标截止时间至</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中规定的投标有效期满之间的这段时间内，</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w:t>
      </w:r>
      <w:r>
        <w:rPr>
          <w:rFonts w:hint="eastAsia" w:ascii="宋体" w:hAnsi="宋体" w:eastAsia="宋体" w:cs="宋体"/>
          <w:szCs w:val="21"/>
          <w:highlight w:val="none"/>
          <w:lang w:eastAsia="zh-CN"/>
        </w:rPr>
        <w:t>撤销</w:t>
      </w:r>
      <w:r>
        <w:rPr>
          <w:rFonts w:hint="eastAsia" w:ascii="宋体" w:hAnsi="宋体" w:eastAsia="宋体" w:cs="宋体"/>
          <w:szCs w:val="21"/>
          <w:highlight w:val="none"/>
        </w:rPr>
        <w:t>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，否则其</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保证金将不予退还。</w:t>
      </w:r>
    </w:p>
    <w:p w14:paraId="00B0F1B7">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15、谈判程序</w:t>
      </w:r>
    </w:p>
    <w:p w14:paraId="1806D266">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15.1代理机构按竞争性谈判公告规定的时间、地点主持谈判活动。</w:t>
      </w:r>
    </w:p>
    <w:p w14:paraId="0CD8A232">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15.2供应商参加谈判会的应由法定代表人或委托代理人携带</w:t>
      </w:r>
      <w:r>
        <w:rPr>
          <w:rFonts w:hint="eastAsia" w:ascii="宋体" w:hAnsi="宋体" w:eastAsia="宋体" w:cs="宋体"/>
          <w:b/>
          <w:bCs/>
          <w:szCs w:val="21"/>
          <w:highlight w:val="none"/>
        </w:rPr>
        <w:t>本人有效的身份证原件</w:t>
      </w:r>
      <w:r>
        <w:rPr>
          <w:rFonts w:hint="eastAsia" w:ascii="宋体" w:hAnsi="宋体" w:eastAsia="宋体" w:cs="宋体"/>
          <w:szCs w:val="21"/>
          <w:highlight w:val="none"/>
        </w:rPr>
        <w:t>准时参加，并签名报到以证明其出席。</w:t>
      </w:r>
    </w:p>
    <w:p w14:paraId="69EBEFA8">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15.3</w:t>
      </w:r>
      <w:r>
        <w:rPr>
          <w:rFonts w:hint="eastAsia" w:ascii="宋体" w:hAnsi="宋体" w:eastAsia="宋体" w:cs="宋体"/>
          <w:b/>
          <w:bCs/>
          <w:szCs w:val="21"/>
          <w:highlight w:val="none"/>
        </w:rPr>
        <w:t>谈判时，由供应商或者其推选的代表查验响应文件的密封情况。</w:t>
      </w:r>
    </w:p>
    <w:p w14:paraId="75AAC85A">
      <w:pPr>
        <w:pStyle w:val="26"/>
        <w:keepNext w:val="0"/>
        <w:keepLines w:val="0"/>
        <w:pageBreakBefore w:val="0"/>
        <w:wordWrap/>
        <w:topLinePunct w:val="0"/>
        <w:bidi w:val="0"/>
        <w:snapToGrid/>
        <w:spacing w:line="440" w:lineRule="exact"/>
        <w:rPr>
          <w:rFonts w:hint="eastAsia" w:ascii="宋体" w:hAnsi="宋体" w:eastAsia="宋体" w:cs="宋体"/>
          <w:highlight w:val="none"/>
        </w:rPr>
      </w:pPr>
      <w:r>
        <w:rPr>
          <w:rFonts w:hint="eastAsia" w:ascii="宋体" w:hAnsi="宋体" w:eastAsia="宋体" w:cs="宋体"/>
          <w:szCs w:val="21"/>
          <w:highlight w:val="none"/>
        </w:rPr>
        <w:t>15.4唱标：本项目无唱标环节。</w:t>
      </w:r>
    </w:p>
    <w:p w14:paraId="22895995">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16、谈判小组</w:t>
      </w:r>
    </w:p>
    <w:p w14:paraId="4BB39D60">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16.1谈判开始后，代理机构将组织谈判小组进行评标。谈判小组由</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代表和评审专家组成，且人员构成符合相关规定。谈判小组成员按照客观、公正、审慎的原则，根据谈判文件规定的评审程序、评审方法和评审标准进行独立评审。</w:t>
      </w:r>
    </w:p>
    <w:p w14:paraId="52C45FC8">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16.2谈判小组负责具体的评标事务，并独立履行以下职责：</w:t>
      </w:r>
    </w:p>
    <w:p w14:paraId="2B014ED6">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16.2.1审查、评价响应文件是否符合谈判文件的商务、技术等实质性要求；</w:t>
      </w:r>
    </w:p>
    <w:p w14:paraId="7183673C">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16.2.2要求供应商对响应文件有关事项作出澄清或者说明；</w:t>
      </w:r>
    </w:p>
    <w:p w14:paraId="14020E62">
      <w:pPr>
        <w:keepNext w:val="0"/>
        <w:keepLines w:val="0"/>
        <w:pageBreakBefore w:val="0"/>
        <w:wordWrap/>
        <w:topLinePunct w:val="0"/>
        <w:bidi w:val="0"/>
        <w:snapToGrid/>
        <w:spacing w:line="44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16.2.3对响应文件进行比较和评价；</w:t>
      </w:r>
    </w:p>
    <w:p w14:paraId="5E5006A2">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16.2.4推荐中标候选人名单，或受代理机构委托按照事先确定的办法直接确定成交供应商；</w:t>
      </w:r>
    </w:p>
    <w:p w14:paraId="72551D40">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16.2.5向</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、代理机构或者有关部门报告评标中发现的违法行为。</w:t>
      </w:r>
    </w:p>
    <w:p w14:paraId="32FC6C64">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16.3谈判小组成员应当履行下列义务：</w:t>
      </w:r>
    </w:p>
    <w:p w14:paraId="3FA21EF2">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16.3.1遵纪守法，客观、公正、廉洁地履行职责；</w:t>
      </w:r>
    </w:p>
    <w:p w14:paraId="6566FDB1">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16.3.2按照谈判文件规定的评审办法和评分标准进行评审，对评审意见承担个人责任；</w:t>
      </w:r>
    </w:p>
    <w:p w14:paraId="5A417669">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16.3.3对评标过程和结果，以及供应商的商业秘密保密；</w:t>
      </w:r>
    </w:p>
    <w:p w14:paraId="2EF6F8D0">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16.3.4负责评标报告的起草；</w:t>
      </w:r>
    </w:p>
    <w:p w14:paraId="6B297727">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16.3.5配合相关部门的投诉处理工作；</w:t>
      </w:r>
    </w:p>
    <w:p w14:paraId="4911D3E0">
      <w:pPr>
        <w:pStyle w:val="5"/>
        <w:keepNext w:val="0"/>
        <w:keepLines w:val="0"/>
        <w:pageBreakBefore w:val="0"/>
        <w:wordWrap/>
        <w:overflowPunct w:val="0"/>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sz w:val="21"/>
          <w:szCs w:val="21"/>
          <w:highlight w:val="none"/>
        </w:rPr>
        <w:t>16.3.6配合代理机构答复供应商对中标结果提出的质疑。</w:t>
      </w:r>
    </w:p>
    <w:p w14:paraId="3492E719">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17、评审内容的保密</w:t>
      </w:r>
    </w:p>
    <w:p w14:paraId="052F8946">
      <w:pPr>
        <w:pStyle w:val="5"/>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17.1谈判开始后，直到宣布授予成交成交供应商合同为止，凡属于审查、澄清、评价和比较响应文件的所有资料，有关授予合同的信息都不应向供应商或与评审无关的其他人泄露。</w:t>
      </w:r>
    </w:p>
    <w:p w14:paraId="53CF5776">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17.2在评审过程中，供应商不得以任何行为影响评标过程，否则其响应文件将被作为无效响应文件。</w:t>
      </w:r>
    </w:p>
    <w:p w14:paraId="379FDA96">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17.3在评审期间，代理机构将设专门人员与供应商联系。</w:t>
      </w:r>
    </w:p>
    <w:p w14:paraId="0464B17D">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17.4代理机构和谈判小组不向落标的供应商解释未中标原因，也不公布评审过程中的相关细节。</w:t>
      </w:r>
    </w:p>
    <w:p w14:paraId="48562B29">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18、对响应文件的审查</w:t>
      </w:r>
    </w:p>
    <w:p w14:paraId="6263EBA9">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响应文件初审分为资格性审查和符合性审查。</w:t>
      </w:r>
    </w:p>
    <w:p w14:paraId="5C1B6E8E">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18.1资格性审查：依据法律法规和谈判文件的规定，对响应文件中的资格证明文件进行审查。</w:t>
      </w:r>
    </w:p>
    <w:p w14:paraId="651A76A2">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18.2符合性审查：依据谈判文件的规定，由谈判小组从响应文件的有效性、完整性和对谈判文件的响应程度进行审查，以确定是否对谈判文件的实质性要求作出响应。</w:t>
      </w:r>
    </w:p>
    <w:p w14:paraId="2DC4BD11">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18.3在正式谈判之前，谈判小组应首先审查每份响应文件是否实质性响应了谈判文件的要求。实质性响应的响应文件应该是与谈判文件要求的全部条款、条件和规格相符，没有重大偏离或保留的投标。</w:t>
      </w:r>
    </w:p>
    <w:p w14:paraId="66BA02AC">
      <w:pPr>
        <w:pStyle w:val="5"/>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所谓重大偏离或保留是指影响到谈判文件中规定的实质性要求存在负偏离，或者在实质上与谈判文件不一致，而且限制了合同中</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和见证方的权利或供应商的义务，纠正这些偏离或保留将会对其他实质性响应要求的供应商的竞争地位产生不公正的影响。重大偏离的认定需经过谈判小组三分之二及以上成员的认定。谈判小组决定响应文件的响应性只根据响应文件本身的内容，而不寻求外部的证据。如果响应文件没有实质性响应本谈判文件的要求，谈判小组将予以拒绝，并视作无效。供应商不得通过修改或撤销不合要求的偏离或保留而使其投标成为实质性响应的投标。</w:t>
      </w:r>
    </w:p>
    <w:p w14:paraId="43D25D5D">
      <w:pPr>
        <w:keepNext w:val="0"/>
        <w:keepLines w:val="0"/>
        <w:pageBreakBefore w:val="0"/>
        <w:wordWrap/>
        <w:topLinePunct w:val="0"/>
        <w:bidi w:val="0"/>
        <w:snapToGrid/>
        <w:spacing w:line="44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18.4</w:t>
      </w:r>
      <w:r>
        <w:rPr>
          <w:rFonts w:hint="eastAsia" w:ascii="宋体" w:hAnsi="宋体" w:eastAsia="宋体" w:cs="宋体"/>
          <w:b/>
          <w:szCs w:val="21"/>
          <w:highlight w:val="none"/>
        </w:rPr>
        <w:t>响应文件有下列情况之一者，</w:t>
      </w:r>
      <w:r>
        <w:rPr>
          <w:rFonts w:hint="eastAsia" w:ascii="宋体" w:hAnsi="宋体" w:eastAsia="宋体" w:cs="宋体"/>
          <w:b/>
          <w:bCs/>
          <w:szCs w:val="21"/>
          <w:highlight w:val="none"/>
        </w:rPr>
        <w:t>将作为无效响应文件处理：</w:t>
      </w:r>
    </w:p>
    <w:p w14:paraId="5E7A071D">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18.4.1响应文件未按规定</w:t>
      </w:r>
      <w:r>
        <w:rPr>
          <w:rFonts w:hint="eastAsia" w:ascii="宋体" w:hAnsi="宋体" w:cs="宋体"/>
          <w:szCs w:val="21"/>
          <w:highlight w:val="none"/>
          <w:lang w:val="en-US" w:eastAsia="zh-CN"/>
        </w:rPr>
        <w:t>装订</w:t>
      </w:r>
      <w:r>
        <w:rPr>
          <w:rFonts w:hint="eastAsia" w:ascii="宋体" w:hAnsi="宋体" w:eastAsia="宋体" w:cs="宋体"/>
          <w:szCs w:val="21"/>
          <w:highlight w:val="none"/>
        </w:rPr>
        <w:t>、密封、签字、盖章的，未按要求提供“U盘”或未单独密封的；</w:t>
      </w:r>
    </w:p>
    <w:p w14:paraId="5A6A36A7">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18.4.2响应文件未加盖供应商公章的；</w:t>
      </w:r>
    </w:p>
    <w:p w14:paraId="4416ADA5">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18.4.3法定代表人资格证明书或授权委托书未提供的、无供应商公章的、无法定代表人或委托代理人签字或盖章的、非原件的；</w:t>
      </w:r>
    </w:p>
    <w:p w14:paraId="6FB0B438">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18.4.4供应商未通过报名的或者在名称上和法人地位上与报名情况发生实质性改变的；</w:t>
      </w:r>
    </w:p>
    <w:p w14:paraId="0425EA94">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18.4.5供应商不符合谈判文件中规定资格要求的，或者资格要求证明材料提供不齐全的；</w:t>
      </w:r>
    </w:p>
    <w:p w14:paraId="7C13F443">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18.4.6响应文件未按谈判文件规定的格式、内容和要求编制，响应文件字迹潦草、模糊、难以辨认；</w:t>
      </w:r>
    </w:p>
    <w:p w14:paraId="38EB1517">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18.4.7供应商在一份响应文件中，对同一投标项目报有两个或多个报价，且未书面确定以哪个报价为准的；</w:t>
      </w:r>
    </w:p>
    <w:p w14:paraId="5639CD34">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18.4.8供应商在谈判报价中存在严重错误，并影响对其他供应商的评分的；</w:t>
      </w:r>
    </w:p>
    <w:p w14:paraId="198E50E5">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18.4.9响应文件材料所述情况和所附相关资料不实的；</w:t>
      </w:r>
    </w:p>
    <w:p w14:paraId="071FC4CF">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18.4.10供应商以他人的名义投标、串通投标、以行贿手段谋取中标或者以其他弄虚作假方式投标的。</w:t>
      </w:r>
    </w:p>
    <w:p w14:paraId="59212EA9">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18.4.11逾期送达的响应文件；</w:t>
      </w:r>
    </w:p>
    <w:p w14:paraId="2912580A">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18.4.12未按谈判文件要求缴纳谈判保证金的；</w:t>
      </w:r>
    </w:p>
    <w:p w14:paraId="56C55CA3">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18.4.13供应商的谈判报价超出采购预算或者最高限价的；</w:t>
      </w:r>
    </w:p>
    <w:p w14:paraId="45F92736">
      <w:pPr>
        <w:keepNext w:val="0"/>
        <w:keepLines w:val="0"/>
        <w:pageBreakBefore w:val="0"/>
        <w:wordWrap/>
        <w:topLinePunct w:val="0"/>
        <w:bidi w:val="0"/>
        <w:snapToGrid/>
        <w:spacing w:line="440" w:lineRule="exact"/>
        <w:ind w:firstLine="439" w:firstLineChars="208"/>
        <w:rPr>
          <w:rFonts w:hint="eastAsia" w:ascii="宋体" w:hAnsi="宋体" w:eastAsia="宋体" w:cs="宋体"/>
          <w:b/>
          <w:szCs w:val="21"/>
          <w:highlight w:val="none"/>
        </w:rPr>
      </w:pPr>
      <w:r>
        <w:rPr>
          <w:rFonts w:hint="eastAsia" w:ascii="宋体" w:hAnsi="宋体" w:eastAsia="宋体" w:cs="宋体"/>
          <w:b/>
          <w:szCs w:val="21"/>
          <w:highlight w:val="none"/>
        </w:rPr>
        <w:t>18.4.14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投标处理。</w:t>
      </w:r>
    </w:p>
    <w:p w14:paraId="407461D1">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18.4.15谈判文件明确规定无效的其他情形，或者其他被评委会认定无效的情况；</w:t>
      </w:r>
    </w:p>
    <w:p w14:paraId="0E499A6B">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18.4.16响应文件含有</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不能接受的附加条件的；</w:t>
      </w:r>
    </w:p>
    <w:p w14:paraId="3795D5D5">
      <w:pPr>
        <w:keepNext w:val="0"/>
        <w:keepLines w:val="0"/>
        <w:pageBreakBefore w:val="0"/>
        <w:wordWrap/>
        <w:topLinePunct w:val="0"/>
        <w:bidi w:val="0"/>
        <w:snapToGrid/>
        <w:spacing w:line="440" w:lineRule="exact"/>
        <w:ind w:firstLine="439" w:firstLineChars="208"/>
        <w:jc w:val="left"/>
        <w:rPr>
          <w:rFonts w:hint="eastAsia" w:ascii="宋体" w:hAnsi="宋体" w:eastAsia="宋体" w:cs="宋体"/>
          <w:b/>
          <w:szCs w:val="21"/>
          <w:highlight w:val="none"/>
        </w:rPr>
      </w:pPr>
      <w:r>
        <w:rPr>
          <w:rFonts w:hint="eastAsia" w:ascii="宋体" w:hAnsi="宋体" w:eastAsia="宋体" w:cs="宋体"/>
          <w:b/>
          <w:szCs w:val="21"/>
          <w:highlight w:val="none"/>
        </w:rPr>
        <w:t>18.4.17供应商及其联合体中任何一个成员被列</w:t>
      </w:r>
      <w:r>
        <w:rPr>
          <w:rFonts w:hint="eastAsia" w:ascii="宋体" w:hAnsi="宋体" w:eastAsia="宋体" w:cs="宋体"/>
          <w:b/>
          <w:bCs w:val="0"/>
          <w:szCs w:val="21"/>
          <w:highlight w:val="none"/>
        </w:rPr>
        <w:t>入</w:t>
      </w:r>
      <w:r>
        <w:rPr>
          <w:rFonts w:hint="eastAsia" w:ascii="宋体" w:hAnsi="宋体" w:cs="宋体"/>
          <w:b/>
          <w:bCs w:val="0"/>
          <w:szCs w:val="21"/>
          <w:highlight w:val="none"/>
          <w:lang w:val="en-US" w:eastAsia="zh-CN"/>
        </w:rPr>
        <w:t>失信被执行人、重大税收违法失信主体</w:t>
      </w:r>
      <w:r>
        <w:rPr>
          <w:rFonts w:hint="eastAsia" w:ascii="宋体" w:hAnsi="宋体" w:eastAsia="宋体" w:cs="宋体"/>
          <w:b/>
          <w:bCs w:val="0"/>
          <w:color w:val="auto"/>
          <w:szCs w:val="21"/>
          <w:highlight w:val="none"/>
        </w:rPr>
        <w:t>、</w:t>
      </w: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"http://www.ccgp.gov.cn/search/cr/" \o "政府采购严重违法失信行为记录名单"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21"/>
          <w:highlight w:val="none"/>
        </w:rPr>
        <w:t>政府采购严重违法失信行为记录名单</w:t>
      </w:r>
      <w:r>
        <w:rPr>
          <w:rFonts w:hint="eastAsia" w:ascii="宋体" w:hAnsi="宋体" w:eastAsia="宋体" w:cs="宋体"/>
          <w:b/>
          <w:bCs w:val="0"/>
          <w:szCs w:val="21"/>
          <w:highlight w:val="none"/>
        </w:rPr>
        <w:fldChar w:fldCharType="end"/>
      </w:r>
      <w:r>
        <w:rPr>
          <w:rFonts w:hint="eastAsia" w:ascii="宋体" w:hAnsi="宋体" w:eastAsia="宋体" w:cs="宋体"/>
          <w:b/>
          <w:szCs w:val="21"/>
          <w:highlight w:val="none"/>
        </w:rPr>
        <w:t>的。[查询渠道：“信用中国”网站（www.creditchina.gov.cn）、中国政府采购网(www.ccgp.gov.cn)网站的相关主体信用记录]；</w:t>
      </w:r>
    </w:p>
    <w:p w14:paraId="2AFF1D03">
      <w:pPr>
        <w:keepNext w:val="0"/>
        <w:keepLines w:val="0"/>
        <w:pageBreakBefore w:val="0"/>
        <w:wordWrap/>
        <w:topLinePunct w:val="0"/>
        <w:bidi w:val="0"/>
        <w:snapToGrid/>
        <w:spacing w:line="440" w:lineRule="exact"/>
        <w:ind w:firstLine="439" w:firstLineChars="208"/>
        <w:rPr>
          <w:rFonts w:hint="eastAsia" w:ascii="宋体" w:hAnsi="宋体" w:eastAsia="宋体" w:cs="宋体"/>
          <w:b/>
          <w:szCs w:val="21"/>
          <w:highlight w:val="none"/>
        </w:rPr>
      </w:pPr>
      <w:r>
        <w:rPr>
          <w:rFonts w:hint="eastAsia" w:ascii="宋体" w:hAnsi="宋体" w:eastAsia="宋体" w:cs="宋体"/>
          <w:b/>
          <w:szCs w:val="21"/>
          <w:highlight w:val="none"/>
        </w:rPr>
        <w:t>18.4.18未按要求提供带“*”项材料的；</w:t>
      </w:r>
    </w:p>
    <w:p w14:paraId="4F36BF0B">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18.4.19不符合法律、法规和谈判文件规定的其他实质性要求的。</w:t>
      </w:r>
    </w:p>
    <w:p w14:paraId="22FE0B66">
      <w:pPr>
        <w:keepNext w:val="0"/>
        <w:keepLines w:val="0"/>
        <w:pageBreakBefore w:val="0"/>
        <w:wordWrap/>
        <w:topLinePunct w:val="0"/>
        <w:bidi w:val="0"/>
        <w:snapToGrid/>
        <w:spacing w:line="440" w:lineRule="exact"/>
        <w:ind w:firstLine="439" w:firstLineChars="208"/>
        <w:rPr>
          <w:rFonts w:hint="eastAsia" w:ascii="宋体" w:hAnsi="宋体" w:eastAsia="宋体" w:cs="宋体"/>
          <w:b/>
          <w:szCs w:val="21"/>
          <w:highlight w:val="none"/>
        </w:rPr>
      </w:pPr>
      <w:r>
        <w:rPr>
          <w:rFonts w:hint="eastAsia" w:ascii="宋体" w:hAnsi="宋体" w:eastAsia="宋体" w:cs="宋体"/>
          <w:b/>
          <w:szCs w:val="21"/>
          <w:highlight w:val="none"/>
        </w:rPr>
        <w:t>18.5有下列情形之一的，视为供应商串通投标，投标无效：</w:t>
      </w:r>
    </w:p>
    <w:p w14:paraId="49F4F6F1">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18.5.1不同供应商的响应文件由同一单位或者个人编制；</w:t>
      </w:r>
    </w:p>
    <w:p w14:paraId="2E4833DC">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18.5.2不同供应商委托同一单位或者个人办理投标事宜；</w:t>
      </w:r>
    </w:p>
    <w:p w14:paraId="21734D6C">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18.5.3不同供应商的响应文件载明的项目管理成员或者联系人员为同一人；</w:t>
      </w:r>
    </w:p>
    <w:p w14:paraId="2519A21C">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18.5.4不同供应商的响应文件异常一致或者谈判报价呈规律性差异；</w:t>
      </w:r>
    </w:p>
    <w:p w14:paraId="6442E497">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18.5.5不同供应商的响应文件相互混装；</w:t>
      </w:r>
    </w:p>
    <w:p w14:paraId="238BB5FB">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18.5.6不同供应商的谈判保证金从同一单位或者个人的账户转出。</w:t>
      </w:r>
    </w:p>
    <w:p w14:paraId="0440EF0A">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18.6投标截止时间结束后参加投标的供应商不足三家的处理：如出现投标截止时间结束后参加投标的供应商或者在评审期间对谈判文件做出实质响应的供应商不足三家情况，按相关规定执行。</w:t>
      </w:r>
    </w:p>
    <w:p w14:paraId="4641783A">
      <w:pPr>
        <w:keepNext w:val="0"/>
        <w:keepLines w:val="0"/>
        <w:pageBreakBefore w:val="0"/>
        <w:wordWrap/>
        <w:topLinePunct w:val="0"/>
        <w:bidi w:val="0"/>
        <w:snapToGrid/>
        <w:spacing w:line="440" w:lineRule="exact"/>
        <w:rPr>
          <w:rFonts w:hint="eastAsia" w:ascii="宋体" w:hAnsi="宋体" w:eastAsia="宋体" w:cs="宋体"/>
          <w:b/>
          <w:kern w:val="0"/>
          <w:szCs w:val="21"/>
          <w:highlight w:val="none"/>
        </w:rPr>
      </w:pPr>
      <w:r>
        <w:rPr>
          <w:rFonts w:hint="eastAsia" w:ascii="宋体" w:hAnsi="宋体" w:eastAsia="宋体" w:cs="宋体"/>
          <w:b/>
          <w:kern w:val="0"/>
          <w:szCs w:val="21"/>
          <w:highlight w:val="none"/>
        </w:rPr>
        <w:t>19、谈判响应文件的澄清</w:t>
      </w:r>
    </w:p>
    <w:p w14:paraId="2E4DE633">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19.1为了有助于对响应文件进行审查、评价和比较，谈判小组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5FD8BB13">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19.2谈判小组可要求供应商就澄清的问题作出答复，该答复经供应商代表的签字认可，将作为响应文件内容的一部分。</w:t>
      </w:r>
    </w:p>
    <w:p w14:paraId="08150056">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19.3供应商在进行澄清、说明、答辩或补正时，不得改变投标的价格（校核时发现的算术错误除外）、超出谈判文件的范围及改变响应文件的实质性内容。</w:t>
      </w:r>
    </w:p>
    <w:p w14:paraId="5FCB38BF">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19.4响应文件报价出现前后不一致的，除谈判文件另有规定外，按照下列规定修正：</w:t>
      </w:r>
    </w:p>
    <w:p w14:paraId="3991AE73">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19.4.1响应文件中开标一览表（报价一览表）内容与响应文件中相应内容不一致的，以开标一览表（报价一览表）为准；</w:t>
      </w:r>
    </w:p>
    <w:p w14:paraId="282CAE43">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19.4.2响应文件的大写金额与小写金额不一致的，以大写金额为准；</w:t>
      </w:r>
    </w:p>
    <w:p w14:paraId="4DF7C8ED">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19.4.3单价金额小数点或者百分比有明显错位的，以开标一览表（报价一览表）的总价为准，并修改单价；</w:t>
      </w:r>
    </w:p>
    <w:p w14:paraId="5E2F3BA5">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19.4.4总价金额与按单价汇总金额不一致的，以单价金额计算结果为准。</w:t>
      </w:r>
    </w:p>
    <w:p w14:paraId="15BA5D76">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同时出现两种以上不一致的，按照前款规定的顺序修正。修正后的报价按照本谈判文件规定经供应商确认后产生约束力，供应商不确认的，其投标无效，其谈判保证金不予退还。</w:t>
      </w:r>
      <w:r>
        <w:rPr>
          <w:rFonts w:hint="eastAsia" w:ascii="宋体" w:hAnsi="宋体" w:eastAsia="宋体" w:cs="宋体"/>
          <w:b/>
          <w:szCs w:val="21"/>
          <w:highlight w:val="none"/>
        </w:rPr>
        <w:t>存在缺项漏项或者数量不符合谈判文件要求的作为无效响应文件处理</w:t>
      </w:r>
      <w:r>
        <w:rPr>
          <w:rFonts w:hint="eastAsia" w:ascii="宋体" w:hAnsi="宋体" w:eastAsia="宋体" w:cs="宋体"/>
          <w:szCs w:val="21"/>
          <w:highlight w:val="none"/>
        </w:rPr>
        <w:t>；对不同文字文本响应文件的解释发生异议的，以中文文本为准。</w:t>
      </w:r>
    </w:p>
    <w:p w14:paraId="47AB9012">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19.5供应商拒不按照谈判小组要求作出澄清、说明或者补正的，作为无效投标处理。</w:t>
      </w:r>
    </w:p>
    <w:p w14:paraId="3EFEF9F6">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19.6谈判小组对响应文件的判定，只依据投标内容本身，不依靠谈判后的任何外来证明。</w:t>
      </w:r>
    </w:p>
    <w:p w14:paraId="2E3400D9">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20、出现下列情形之一的，终止竞争性谈判采购活动</w:t>
      </w:r>
    </w:p>
    <w:p w14:paraId="118C6072">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20.1因情况变化，不再符合规定的竞争性谈判采购方式适用情形的；</w:t>
      </w:r>
    </w:p>
    <w:p w14:paraId="57947837">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20.2出现影响采购公正的违法、违规行为的；</w:t>
      </w:r>
    </w:p>
    <w:p w14:paraId="185A83D6">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20.3供应商的最终报价均超过了项目预算，</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不能支付的；</w:t>
      </w:r>
    </w:p>
    <w:p w14:paraId="1AA91844">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20.4因重大变故，采购任务取消的。</w:t>
      </w:r>
    </w:p>
    <w:p w14:paraId="091A1D75">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21、评审、定标方法</w:t>
      </w:r>
    </w:p>
    <w:p w14:paraId="69322960">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rPr>
        <w:t>最低评标价法，是指响应文件满足谈判文件全部实质性要求，且谈判报价最低的供应商为中标候选人的评标方法。报价相同的，由</w:t>
      </w:r>
      <w:r>
        <w:rPr>
          <w:rFonts w:hint="eastAsia" w:ascii="宋体" w:hAnsi="宋体" w:cs="宋体"/>
          <w:szCs w:val="21"/>
          <w:highlight w:val="none"/>
          <w:lang w:eastAsia="zh-CN"/>
        </w:rPr>
        <w:t>采购人</w:t>
      </w:r>
      <w:r>
        <w:rPr>
          <w:rFonts w:hint="eastAsia" w:ascii="宋体" w:hAnsi="宋体" w:cs="宋体"/>
          <w:szCs w:val="21"/>
          <w:highlight w:val="none"/>
        </w:rPr>
        <w:t>或者</w:t>
      </w:r>
      <w:r>
        <w:rPr>
          <w:rFonts w:hint="eastAsia" w:ascii="宋体" w:hAnsi="宋体" w:cs="宋体"/>
          <w:szCs w:val="21"/>
          <w:highlight w:val="none"/>
          <w:lang w:eastAsia="zh-CN"/>
        </w:rPr>
        <w:t>采购人</w:t>
      </w:r>
      <w:r>
        <w:rPr>
          <w:rFonts w:hint="eastAsia" w:ascii="宋体" w:hAnsi="宋体" w:cs="宋体"/>
          <w:szCs w:val="21"/>
          <w:highlight w:val="none"/>
        </w:rPr>
        <w:t>委托谈判小组按照谈判文件规定的方式确定一个参加评标的供应商，谈判文件未规定的采取随机抽取方式确定，其他投标无效。</w:t>
      </w:r>
    </w:p>
    <w:p w14:paraId="079A0FF6">
      <w:pPr>
        <w:keepNext w:val="0"/>
        <w:keepLines w:val="0"/>
        <w:pageBreakBefore w:val="0"/>
        <w:wordWrap/>
        <w:topLinePunct w:val="0"/>
        <w:bidi w:val="0"/>
        <w:snapToGrid/>
        <w:spacing w:line="44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21.2</w:t>
      </w:r>
      <w:r>
        <w:rPr>
          <w:rFonts w:hint="eastAsia" w:ascii="宋体" w:hAnsi="宋体" w:eastAsia="宋体" w:cs="宋体"/>
          <w:b/>
          <w:szCs w:val="21"/>
          <w:highlight w:val="none"/>
          <w:lang w:eastAsia="zh-CN"/>
        </w:rPr>
        <w:t>采购人</w:t>
      </w:r>
      <w:r>
        <w:rPr>
          <w:rFonts w:hint="eastAsia" w:ascii="宋体" w:hAnsi="宋体" w:eastAsia="宋体" w:cs="宋体"/>
          <w:b/>
          <w:szCs w:val="21"/>
          <w:highlight w:val="none"/>
        </w:rPr>
        <w:t>授权谈判小组直接确定成交供应商。</w:t>
      </w:r>
    </w:p>
    <w:p w14:paraId="4E02B2F7">
      <w:pPr>
        <w:pStyle w:val="5"/>
        <w:keepNext w:val="0"/>
        <w:keepLines w:val="0"/>
        <w:pageBreakBefore w:val="0"/>
        <w:wordWrap/>
        <w:overflowPunct w:val="0"/>
        <w:topLinePunct w:val="0"/>
        <w:bidi w:val="0"/>
        <w:snapToGrid/>
        <w:spacing w:line="440" w:lineRule="exact"/>
        <w:ind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22</w:t>
      </w:r>
      <w:r>
        <w:rPr>
          <w:rFonts w:hint="eastAsia" w:ascii="宋体" w:hAnsi="宋体" w:eastAsia="宋体" w:cs="宋体"/>
          <w:b/>
          <w:szCs w:val="21"/>
          <w:highlight w:val="none"/>
        </w:rPr>
        <w:t>、</w:t>
      </w:r>
      <w:r>
        <w:rPr>
          <w:rFonts w:hint="eastAsia" w:ascii="宋体" w:hAnsi="宋体" w:eastAsia="宋体" w:cs="宋体"/>
          <w:b/>
          <w:sz w:val="21"/>
          <w:szCs w:val="21"/>
          <w:highlight w:val="none"/>
        </w:rPr>
        <w:t>成交结果及公示</w:t>
      </w:r>
    </w:p>
    <w:p w14:paraId="78DF265D">
      <w:pPr>
        <w:pStyle w:val="5"/>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22.1代理机构将成交结果在</w:t>
      </w:r>
      <w:r>
        <w:rPr>
          <w:rFonts w:hint="eastAsia" w:ascii="宋体" w:hAnsi="宋体" w:eastAsia="宋体" w:cs="宋体"/>
          <w:b/>
          <w:bCs/>
          <w:sz w:val="21"/>
          <w:szCs w:val="21"/>
          <w:highlight w:val="none"/>
        </w:rPr>
        <w:t>“常州青枫招标有限公司”</w:t>
      </w:r>
      <w:r>
        <w:rPr>
          <w:rFonts w:hint="eastAsia" w:ascii="宋体" w:hAnsi="宋体" w:eastAsia="宋体" w:cs="宋体"/>
          <w:sz w:val="21"/>
          <w:szCs w:val="21"/>
          <w:highlight w:val="none"/>
        </w:rPr>
        <w:t>网站上予以公告。公告期限为1个工作日。</w:t>
      </w:r>
    </w:p>
    <w:p w14:paraId="24C93FE8">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22.2若有充分证据证明，成交供应商出现下列情况之一的，一经查实，将被取消中标资格；</w:t>
      </w:r>
    </w:p>
    <w:p w14:paraId="189304F2">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22.2.1提供虚假材料谋取中标的；</w:t>
      </w:r>
    </w:p>
    <w:p w14:paraId="30939771">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22.2.2向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、代理机构行贿或者提供其他不正当利益的；</w:t>
      </w:r>
    </w:p>
    <w:p w14:paraId="501E51DE">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22.2.3恶意竞争，投标总报价明显低于其自身合理成本且又无法提供证明的；</w:t>
      </w:r>
    </w:p>
    <w:p w14:paraId="0F142AEB">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22.2.4属于本文件规定的无效条件，但在评审过程中又未被评委会发现的；</w:t>
      </w:r>
    </w:p>
    <w:p w14:paraId="1DDE83FB">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22.2.5与</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或者其他供应商恶意串通的；</w:t>
      </w:r>
    </w:p>
    <w:p w14:paraId="5906F7A8">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22.2.6采取不正当手段诋毁、排挤其他供应商的；</w:t>
      </w:r>
    </w:p>
    <w:p w14:paraId="6D159556">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22.2.7不符合法律、法规的规定的。</w:t>
      </w:r>
    </w:p>
    <w:p w14:paraId="5E3DA4CF">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22.3供应商认为谈判文件、采购过程和采购结果使自己的权益受到损害的，可以在知道或应知其权益受到损害之日起七个工作日内，以书面形式向代理机构或</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采购监管部门对该供应商进行相应的处罚。</w:t>
      </w:r>
    </w:p>
    <w:p w14:paraId="28158186">
      <w:pPr>
        <w:pStyle w:val="5"/>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未参加投标活动的供应商或在投标活动中自身权益未受到损害的供应商所提出的质疑不予受理。</w:t>
      </w:r>
    </w:p>
    <w:p w14:paraId="5D137AE1">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成交公示期间，如有参加投标的供应商提出有效质疑，并因此可能对成交结果产生影响，而最终被取消成交的，代理机构对成交供应商不承担任何责任。</w:t>
      </w:r>
    </w:p>
    <w:p w14:paraId="0470E1B0">
      <w:pPr>
        <w:pStyle w:val="5"/>
        <w:keepNext w:val="0"/>
        <w:keepLines w:val="0"/>
        <w:pageBreakBefore w:val="0"/>
        <w:wordWrap/>
        <w:overflowPunct w:val="0"/>
        <w:topLinePunct w:val="0"/>
        <w:bidi w:val="0"/>
        <w:snapToGrid/>
        <w:spacing w:line="440" w:lineRule="exact"/>
        <w:ind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23、成交通知书</w:t>
      </w:r>
    </w:p>
    <w:p w14:paraId="66F005CD">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23.1成交结果公告发布确定后，代理机构将向成交供应商发出中标（成交）通知书；</w:t>
      </w:r>
    </w:p>
    <w:p w14:paraId="02A5A8B6">
      <w:pPr>
        <w:keepNext w:val="0"/>
        <w:keepLines w:val="0"/>
        <w:pageBreakBefore w:val="0"/>
        <w:wordWrap/>
        <w:topLinePunct w:val="0"/>
        <w:bidi w:val="0"/>
        <w:snapToGrid/>
        <w:spacing w:line="44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23.2中标（成交）通知书对</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和成交供应商具有法律约束力。中标（成交）通知书发出后，</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改变成交结果或者成交供应商放弃成交，均应当承担相应的法律责任，且不影响服务费的支付；</w:t>
      </w:r>
    </w:p>
    <w:p w14:paraId="038A1143">
      <w:pPr>
        <w:pStyle w:val="5"/>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23.3代理机构及</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对未成交的供应商不承担解释未成交原因的义务。</w:t>
      </w:r>
    </w:p>
    <w:p w14:paraId="02AA6FA3">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24、履约保证金</w:t>
      </w:r>
    </w:p>
    <w:p w14:paraId="1C6730BA">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24.1成交供应商应按规定提交履约保证金。</w:t>
      </w:r>
    </w:p>
    <w:p w14:paraId="0E896787">
      <w:pPr>
        <w:keepNext w:val="0"/>
        <w:keepLines w:val="0"/>
        <w:pageBreakBefore w:val="0"/>
        <w:wordWrap/>
        <w:topLinePunct w:val="0"/>
        <w:bidi w:val="0"/>
        <w:snapToGrid/>
        <w:spacing w:line="440" w:lineRule="exact"/>
        <w:ind w:firstLine="420" w:firstLineChars="200"/>
        <w:rPr>
          <w:rFonts w:hint="eastAsia" w:ascii="宋体" w:hAnsi="宋体" w:eastAsia="宋体" w:cs="宋体"/>
          <w:b/>
          <w:szCs w:val="21"/>
          <w:highlight w:val="none"/>
          <w:u w:val="single"/>
        </w:rPr>
      </w:pPr>
      <w:r>
        <w:rPr>
          <w:rFonts w:hint="eastAsia" w:ascii="宋体" w:hAnsi="宋体" w:eastAsia="宋体" w:cs="宋体"/>
          <w:szCs w:val="21"/>
          <w:highlight w:val="none"/>
        </w:rPr>
        <w:t>24.2成交供应商须在</w:t>
      </w:r>
      <w:r>
        <w:rPr>
          <w:rFonts w:hint="eastAsia" w:ascii="宋体" w:hAnsi="宋体" w:eastAsia="宋体" w:cs="宋体"/>
          <w:b/>
          <w:bCs/>
          <w:szCs w:val="21"/>
          <w:highlight w:val="none"/>
        </w:rPr>
        <w:t>合同签订之日起5日</w:t>
      </w:r>
      <w:r>
        <w:rPr>
          <w:rFonts w:hint="eastAsia" w:ascii="宋体" w:hAnsi="宋体" w:eastAsia="宋体" w:cs="宋体"/>
          <w:szCs w:val="21"/>
          <w:highlight w:val="none"/>
        </w:rPr>
        <w:t>内向</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提供履金额为合同总价格</w:t>
      </w:r>
      <w:r>
        <w:rPr>
          <w:rFonts w:hint="eastAsia" w:ascii="宋体" w:hAnsi="宋体" w:eastAsia="宋体" w:cs="宋体"/>
          <w:b w:val="0"/>
          <w:bCs w:val="0"/>
          <w:color w:val="000000"/>
          <w:szCs w:val="21"/>
          <w:highlight w:val="none"/>
          <w:u w:val="single"/>
          <w:lang w:val="en-US" w:eastAsia="zh-CN"/>
        </w:rPr>
        <w:t>/</w:t>
      </w:r>
      <w:r>
        <w:rPr>
          <w:rFonts w:hint="eastAsia" w:ascii="宋体" w:hAnsi="宋体" w:eastAsia="宋体" w:cs="宋体"/>
          <w:szCs w:val="21"/>
          <w:highlight w:val="none"/>
          <w:u w:val="single"/>
        </w:rPr>
        <w:t>%</w:t>
      </w:r>
      <w:r>
        <w:rPr>
          <w:rFonts w:hint="eastAsia" w:ascii="宋体" w:hAnsi="宋体" w:eastAsia="宋体" w:cs="宋体"/>
          <w:szCs w:val="21"/>
          <w:highlight w:val="none"/>
        </w:rPr>
        <w:t>的履约保证金或保函。</w:t>
      </w:r>
    </w:p>
    <w:p w14:paraId="7C8EFE3D">
      <w:pPr>
        <w:keepNext w:val="0"/>
        <w:keepLines w:val="0"/>
        <w:pageBreakBefore w:val="0"/>
        <w:widowControl/>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24.3履约保证金将项目结束后30日内无息退返成交供应商。</w:t>
      </w:r>
    </w:p>
    <w:p w14:paraId="5319105F">
      <w:pPr>
        <w:keepNext w:val="0"/>
        <w:keepLines w:val="0"/>
        <w:pageBreakBefore w:val="0"/>
        <w:wordWrap/>
        <w:topLinePunct w:val="0"/>
        <w:bidi w:val="0"/>
        <w:snapToGrid/>
        <w:spacing w:line="44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w:t>
      </w:r>
      <w:r>
        <w:rPr>
          <w:rFonts w:hint="eastAsia" w:ascii="宋体" w:hAnsi="宋体" w:eastAsia="宋体" w:cs="宋体"/>
          <w:b/>
          <w:szCs w:val="21"/>
          <w:highlight w:val="none"/>
        </w:rPr>
        <w:t>、</w:t>
      </w:r>
      <w:r>
        <w:rPr>
          <w:rFonts w:hint="eastAsia" w:ascii="宋体" w:hAnsi="宋体" w:eastAsia="宋体" w:cs="宋体"/>
          <w:b/>
          <w:color w:val="auto"/>
          <w:szCs w:val="21"/>
          <w:highlight w:val="none"/>
        </w:rPr>
        <w:t>代理机构服务费</w:t>
      </w:r>
    </w:p>
    <w:p w14:paraId="7A31E0E7">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25.1</w:t>
      </w:r>
      <w:r>
        <w:rPr>
          <w:rFonts w:hint="eastAsia" w:ascii="宋体" w:hAnsi="宋体" w:eastAsia="宋体" w:cs="宋体"/>
          <w:b/>
          <w:color w:val="auto"/>
          <w:szCs w:val="21"/>
          <w:highlight w:val="none"/>
        </w:rPr>
        <w:t>服务费按照下列标准收取并由成交供应商承担，供应商报价时应考虑在内，成交供应商应在领取</w:t>
      </w:r>
      <w:r>
        <w:rPr>
          <w:rFonts w:hint="eastAsia" w:ascii="宋体" w:hAnsi="宋体" w:eastAsia="宋体" w:cs="宋体"/>
          <w:b/>
          <w:color w:val="auto"/>
          <w:szCs w:val="21"/>
          <w:highlight w:val="none"/>
          <w:lang w:eastAsia="zh-CN"/>
        </w:rPr>
        <w:t>成交</w:t>
      </w:r>
      <w:r>
        <w:rPr>
          <w:rFonts w:hint="eastAsia" w:ascii="宋体" w:hAnsi="宋体" w:eastAsia="宋体" w:cs="宋体"/>
          <w:b/>
          <w:color w:val="auto"/>
          <w:szCs w:val="21"/>
          <w:highlight w:val="none"/>
        </w:rPr>
        <w:t>通知书时将中标服务费付至</w:t>
      </w:r>
      <w:r>
        <w:rPr>
          <w:rFonts w:hint="eastAsia" w:ascii="宋体" w:hAnsi="宋体" w:eastAsia="宋体" w:cs="宋体"/>
          <w:b/>
          <w:color w:val="auto"/>
          <w:szCs w:val="21"/>
          <w:highlight w:val="none"/>
          <w:lang w:eastAsia="zh-CN"/>
        </w:rPr>
        <w:t>采购代理机构</w:t>
      </w:r>
      <w:r>
        <w:rPr>
          <w:rFonts w:hint="eastAsia" w:ascii="宋体" w:hAnsi="宋体" w:eastAsia="宋体" w:cs="宋体"/>
          <w:b/>
          <w:color w:val="auto"/>
          <w:szCs w:val="21"/>
          <w:highlight w:val="none"/>
        </w:rPr>
        <w:t>以下</w:t>
      </w:r>
      <w:r>
        <w:rPr>
          <w:rFonts w:hint="eastAsia" w:ascii="宋体" w:hAnsi="宋体" w:eastAsia="宋体" w:cs="宋体"/>
          <w:b/>
          <w:color w:val="auto"/>
          <w:szCs w:val="21"/>
          <w:highlight w:val="none"/>
          <w:lang w:eastAsia="zh-CN"/>
        </w:rPr>
        <w:t>账</w:t>
      </w:r>
      <w:r>
        <w:rPr>
          <w:rFonts w:hint="eastAsia" w:ascii="宋体" w:hAnsi="宋体" w:eastAsia="宋体" w:cs="宋体"/>
          <w:b/>
          <w:color w:val="auto"/>
          <w:szCs w:val="21"/>
          <w:highlight w:val="none"/>
        </w:rPr>
        <w:t>户</w:t>
      </w:r>
      <w:r>
        <w:rPr>
          <w:rFonts w:hint="eastAsia" w:ascii="宋体" w:hAnsi="宋体" w:eastAsia="宋体" w:cs="宋体"/>
          <w:b/>
          <w:color w:val="auto"/>
          <w:szCs w:val="21"/>
          <w:highlight w:val="none"/>
        </w:rPr>
        <mc:AlternateContent>
          <mc:Choice Requires="wps">
            <w:drawing>
              <wp:anchor distT="0" distB="0" distL="114300" distR="114300" simplePos="0" relativeHeight="251660288" behindDoc="1" locked="0" layoutInCell="1" allowOverlap="1">
                <wp:simplePos x="0" y="0"/>
                <wp:positionH relativeFrom="page">
                  <wp:posOffset>2054860</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pt;margin-top:17.65pt;height:0.75pt;width:0pt;mso-position-horizontal-relative:page;z-index:-251656192;mso-width-relative:page;mso-height-relative:page;" filled="f" stroked="t" coordsize="20,20" o:gfxdata="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QhME4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r>
        <w:rPr>
          <w:rFonts w:hint="eastAsia" w:ascii="宋体" w:hAnsi="宋体" w:eastAsia="宋体" w:cs="宋体"/>
          <w:b/>
          <w:color w:val="auto"/>
          <w:szCs w:val="21"/>
          <w:highlight w:val="none"/>
        </w:rPr>
        <w:t>：</w:t>
      </w:r>
    </w:p>
    <w:p w14:paraId="4A331F17">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收款单位：常州青枫招标有限公司</w:t>
      </w:r>
    </w:p>
    <w:p w14:paraId="46B0FFD4">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收款银行：中信银行常州分行</w:t>
      </w:r>
    </w:p>
    <w:p w14:paraId="3BB60162">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银行账号：811 0501 0121 0099 2840</w:t>
      </w:r>
    </w:p>
    <w:p w14:paraId="183E7164">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25.</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代理服务</w:t>
      </w:r>
      <w:r>
        <w:rPr>
          <w:rFonts w:hint="eastAsia" w:ascii="宋体" w:hAnsi="宋体" w:eastAsia="宋体" w:cs="宋体"/>
          <w:szCs w:val="21"/>
          <w:highlight w:val="none"/>
          <w:lang w:val="en-US" w:eastAsia="zh-CN"/>
        </w:rPr>
        <w:t>费</w:t>
      </w:r>
      <w:r>
        <w:rPr>
          <w:rFonts w:hint="eastAsia" w:ascii="宋体" w:hAnsi="宋体" w:eastAsia="宋体" w:cs="宋体"/>
          <w:szCs w:val="21"/>
          <w:highlight w:val="none"/>
        </w:rPr>
        <w:t>收费标准</w:t>
      </w:r>
      <w:r>
        <w:rPr>
          <w:rFonts w:hint="eastAsia" w:ascii="宋体" w:hAnsi="宋体" w:eastAsia="宋体" w:cs="宋体"/>
          <w:szCs w:val="21"/>
          <w:highlight w:val="none"/>
          <w:lang w:eastAsia="zh-CN"/>
        </w:rPr>
        <w:t>：</w:t>
      </w:r>
      <w:r>
        <w:rPr>
          <w:rFonts w:hint="eastAsia" w:ascii="宋体" w:hAnsi="宋体" w:eastAsia="宋体" w:cs="宋体"/>
          <w:szCs w:val="21"/>
          <w:highlight w:val="none"/>
        </w:rPr>
        <w:t>以项目中标金额为基数，100万元（含）以下部分</w:t>
      </w:r>
      <w:r>
        <w:rPr>
          <w:rFonts w:hint="eastAsia" w:ascii="宋体" w:hAnsi="宋体" w:cs="宋体"/>
          <w:szCs w:val="21"/>
          <w:highlight w:val="none"/>
          <w:lang w:val="en-US" w:eastAsia="zh-CN"/>
        </w:rPr>
        <w:t>按</w:t>
      </w:r>
      <w:r>
        <w:rPr>
          <w:rFonts w:hint="eastAsia" w:ascii="宋体" w:hAnsi="宋体" w:eastAsia="宋体" w:cs="宋体"/>
          <w:szCs w:val="21"/>
          <w:highlight w:val="none"/>
        </w:rPr>
        <w:t>1.</w:t>
      </w:r>
      <w:r>
        <w:rPr>
          <w:rFonts w:hint="eastAsia" w:ascii="宋体" w:hAnsi="宋体" w:cs="宋体"/>
          <w:szCs w:val="21"/>
          <w:highlight w:val="none"/>
          <w:lang w:val="en-US" w:eastAsia="zh-CN"/>
        </w:rPr>
        <w:t>0</w:t>
      </w:r>
      <w:r>
        <w:rPr>
          <w:rFonts w:hint="eastAsia" w:ascii="宋体" w:hAnsi="宋体" w:eastAsia="宋体" w:cs="宋体"/>
          <w:szCs w:val="21"/>
          <w:highlight w:val="none"/>
        </w:rPr>
        <w:t>%</w:t>
      </w:r>
      <w:r>
        <w:rPr>
          <w:rFonts w:hint="eastAsia" w:ascii="宋体" w:hAnsi="宋体" w:cs="宋体"/>
          <w:szCs w:val="21"/>
          <w:highlight w:val="none"/>
          <w:lang w:val="en-US" w:eastAsia="zh-CN"/>
        </w:rPr>
        <w:t>计取</w:t>
      </w:r>
      <w:r>
        <w:rPr>
          <w:rFonts w:hint="eastAsia" w:ascii="宋体" w:hAnsi="宋体" w:eastAsia="宋体" w:cs="宋体"/>
          <w:szCs w:val="21"/>
          <w:highlight w:val="none"/>
        </w:rPr>
        <w:t>，100万元（不含）—500万元（含）部分</w:t>
      </w:r>
      <w:r>
        <w:rPr>
          <w:rFonts w:hint="eastAsia" w:ascii="宋体" w:hAnsi="宋体" w:cs="宋体"/>
          <w:szCs w:val="21"/>
          <w:highlight w:val="none"/>
          <w:lang w:val="en-US" w:eastAsia="zh-CN"/>
        </w:rPr>
        <w:t>按</w:t>
      </w:r>
      <w:r>
        <w:rPr>
          <w:rFonts w:hint="eastAsia" w:ascii="宋体" w:hAnsi="宋体" w:eastAsia="宋体" w:cs="宋体"/>
          <w:szCs w:val="21"/>
          <w:highlight w:val="none"/>
        </w:rPr>
        <w:t>0.</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cs="宋体"/>
          <w:szCs w:val="21"/>
          <w:highlight w:val="none"/>
          <w:lang w:val="en-US" w:eastAsia="zh-CN"/>
        </w:rPr>
        <w:t>计取</w:t>
      </w:r>
      <w:r>
        <w:rPr>
          <w:rFonts w:hint="eastAsia" w:ascii="宋体" w:hAnsi="宋体" w:eastAsia="宋体" w:cs="宋体"/>
          <w:szCs w:val="21"/>
          <w:highlight w:val="none"/>
        </w:rPr>
        <w:t>；中标服务收费按差额定率累进法计算，若计算标准低于3000元的，则按3000元收取。</w:t>
      </w:r>
    </w:p>
    <w:p w14:paraId="6008B3AA">
      <w:pPr>
        <w:keepNext w:val="0"/>
        <w:keepLines w:val="0"/>
        <w:pageBreakBefore w:val="0"/>
        <w:wordWrap/>
        <w:topLinePunct w:val="0"/>
        <w:bidi w:val="0"/>
        <w:snapToGrid/>
        <w:spacing w:line="440" w:lineRule="exact"/>
        <w:ind w:firstLine="420" w:firstLineChars="200"/>
        <w:rPr>
          <w:rFonts w:hint="eastAsia" w:ascii="宋体" w:hAnsi="宋体" w:eastAsia="宋体" w:cs="宋体"/>
          <w:b/>
          <w:bCs/>
          <w:color w:val="000000"/>
          <w:szCs w:val="21"/>
          <w:highlight w:val="none"/>
        </w:rPr>
      </w:pPr>
      <w:r>
        <w:rPr>
          <w:rFonts w:hint="eastAsia" w:ascii="宋体" w:hAnsi="宋体" w:eastAsia="宋体" w:cs="宋体"/>
          <w:szCs w:val="21"/>
          <w:highlight w:val="none"/>
          <w:lang w:val="en-US" w:eastAsia="zh-CN"/>
        </w:rPr>
        <w:t>25.1.2造价咨询费收费标准：按苏价服[2014]383号文收费标准计取</w:t>
      </w:r>
      <w:r>
        <w:rPr>
          <w:rFonts w:hint="eastAsia" w:ascii="宋体" w:hAnsi="宋体" w:eastAsia="宋体" w:cs="宋体"/>
          <w:color w:val="auto"/>
          <w:szCs w:val="21"/>
          <w:highlight w:val="none"/>
        </w:rPr>
        <w:t>。</w:t>
      </w:r>
    </w:p>
    <w:p w14:paraId="7ADD5117">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26、合同的签订</w:t>
      </w:r>
    </w:p>
    <w:p w14:paraId="56EFEBEE">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26.1</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应按中标（成交）通知书规定的时间、地点，按照</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确定的事项与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签订采购合同，且不得迟于中标（成交）通知之日起三十日内，否则</w:t>
      </w:r>
      <w:r>
        <w:rPr>
          <w:rFonts w:hint="eastAsia" w:ascii="宋体" w:hAnsi="宋体" w:eastAsia="宋体" w:cs="宋体"/>
          <w:szCs w:val="21"/>
          <w:highlight w:val="none"/>
          <w:lang w:eastAsia="zh-CN"/>
        </w:rPr>
        <w:t>谈判保证金</w:t>
      </w:r>
      <w:r>
        <w:rPr>
          <w:rFonts w:hint="eastAsia" w:ascii="宋体" w:hAnsi="宋体" w:eastAsia="宋体" w:cs="宋体"/>
          <w:szCs w:val="21"/>
          <w:highlight w:val="none"/>
        </w:rPr>
        <w:t>将不予退还，由此给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造成损失的，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还应承担赔偿责任。</w:t>
      </w:r>
    </w:p>
    <w:p w14:paraId="00856D9E">
      <w:pPr>
        <w:pStyle w:val="5"/>
        <w:keepNext w:val="0"/>
        <w:keepLines w:val="0"/>
        <w:pageBreakBefore w:val="0"/>
        <w:widowControl w:val="0"/>
        <w:kinsoku/>
        <w:wordWrap/>
        <w:overflowPunct w:val="0"/>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26.2</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应按</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通知书指定的时间、地点派代表前来与</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具体商谈签订合同。</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过程中有关澄清、承诺文件均应作为合同附件。</w:t>
      </w:r>
    </w:p>
    <w:p w14:paraId="3CBE6FDB">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26.3</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未按期签订采购合同的，</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可以与排位在</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之后第一位的</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候选人签订采购合同或重新委托进行招标。</w:t>
      </w:r>
    </w:p>
    <w:p w14:paraId="6E56977F">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26.4</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因不可抗力导致无法按期签订采购合同的，应当在不可抗力发生之日起5日内提出，并提供书面证据，</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及</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互不承担任何责任及损失。</w:t>
      </w:r>
    </w:p>
    <w:p w14:paraId="1310ABB8">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26.5</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无正当理由未按期签订采购合同的，视为自动放弃</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资格，并承担违约责任。</w:t>
      </w:r>
    </w:p>
    <w:p w14:paraId="77A4B5B7">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26.6签订合同后，</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不得将</w:t>
      </w:r>
      <w:r>
        <w:rPr>
          <w:rFonts w:hint="eastAsia" w:ascii="宋体" w:hAnsi="宋体" w:eastAsia="宋体" w:cs="宋体"/>
          <w:szCs w:val="21"/>
          <w:highlight w:val="none"/>
          <w:lang w:val="en-US" w:eastAsia="zh-CN"/>
        </w:rPr>
        <w:t>货物</w:t>
      </w:r>
      <w:r>
        <w:rPr>
          <w:rFonts w:hint="eastAsia" w:ascii="宋体" w:hAnsi="宋体" w:eastAsia="宋体" w:cs="宋体"/>
          <w:szCs w:val="21"/>
          <w:highlight w:val="none"/>
        </w:rPr>
        <w:t>及其他相关服务进行转包</w:t>
      </w:r>
      <w:r>
        <w:rPr>
          <w:rFonts w:hint="eastAsia" w:ascii="宋体" w:hAnsi="宋体" w:eastAsia="宋体" w:cs="宋体"/>
          <w:szCs w:val="21"/>
          <w:highlight w:val="none"/>
          <w:lang w:eastAsia="zh-CN"/>
        </w:rPr>
        <w:t>。未经采购人同意，成交供应商也不得采用分包的形式履行合同，</w:t>
      </w:r>
      <w:r>
        <w:rPr>
          <w:rFonts w:hint="eastAsia" w:ascii="宋体" w:hAnsi="宋体" w:eastAsia="宋体" w:cs="宋体"/>
          <w:szCs w:val="21"/>
          <w:highlight w:val="none"/>
        </w:rPr>
        <w:t>否则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有权终止合同，</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的履约保证金将不予退还。转包或分包造成</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应承担相应赔偿责任。</w:t>
      </w:r>
    </w:p>
    <w:p w14:paraId="61A798CB">
      <w:pPr>
        <w:pStyle w:val="26"/>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szCs w:val="21"/>
          <w:highlight w:val="none"/>
        </w:rPr>
        <w:t>26.</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签订采购合同之日起，</w:t>
      </w:r>
      <w:r>
        <w:rPr>
          <w:rFonts w:hint="eastAsia" w:ascii="宋体" w:hAnsi="宋体" w:eastAsia="宋体" w:cs="宋体"/>
          <w:b/>
          <w:bCs/>
          <w:szCs w:val="21"/>
          <w:highlight w:val="none"/>
          <w:lang w:eastAsia="zh-CN"/>
        </w:rPr>
        <w:t>七</w:t>
      </w:r>
      <w:r>
        <w:rPr>
          <w:rFonts w:hint="eastAsia" w:ascii="宋体" w:hAnsi="宋体" w:eastAsia="宋体" w:cs="宋体"/>
          <w:b/>
          <w:bCs/>
          <w:szCs w:val="21"/>
          <w:highlight w:val="none"/>
        </w:rPr>
        <w:t>个工作日</w:t>
      </w:r>
      <w:r>
        <w:rPr>
          <w:rFonts w:hint="eastAsia" w:ascii="宋体" w:hAnsi="宋体" w:eastAsia="宋体" w:cs="宋体"/>
          <w:szCs w:val="21"/>
          <w:highlight w:val="none"/>
        </w:rPr>
        <w:t>内将合同送代理机构对相关合同信息确认后，进行合同见证盖章。</w:t>
      </w:r>
    </w:p>
    <w:p w14:paraId="6AF589D0">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27、供应商有下列情形之一的，所交谈判保证金代理机构不予退还，并列入不良行为记录名单，在网站予以公布，两年内不得参与本代理机构组织的一切项目。已经中标的，取消其中标资格。已经签约的，所签订的合同无效，同时代理机构不承担任何责任。</w:t>
      </w:r>
    </w:p>
    <w:p w14:paraId="33676522">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27.1采取不正当手段诋毁、排挤或串通他人的；</w:t>
      </w:r>
    </w:p>
    <w:p w14:paraId="2847E864">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27.2有吵闹、起哄、斗殴等行为，扰乱招投标现场、评审或办公秩序的；</w:t>
      </w:r>
    </w:p>
    <w:p w14:paraId="6D5E257F">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27.3</w:t>
      </w:r>
      <w:r>
        <w:rPr>
          <w:rFonts w:hint="eastAsia" w:ascii="宋体" w:hAnsi="宋体" w:eastAsia="宋体" w:cs="宋体"/>
          <w:color w:val="auto"/>
          <w:szCs w:val="21"/>
          <w:highlight w:val="none"/>
        </w:rPr>
        <w:t>中标（成交）</w:t>
      </w:r>
      <w:r>
        <w:rPr>
          <w:rFonts w:hint="eastAsia" w:ascii="宋体" w:hAnsi="宋体" w:eastAsia="宋体" w:cs="宋体"/>
          <w:szCs w:val="21"/>
          <w:highlight w:val="none"/>
        </w:rPr>
        <w:t>后，无正当理由拒不签订合同或者合同签订后未能履行又不按约赔偿的；</w:t>
      </w:r>
    </w:p>
    <w:p w14:paraId="44F7F512">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27.4</w:t>
      </w:r>
      <w:r>
        <w:rPr>
          <w:rFonts w:hint="eastAsia" w:ascii="宋体" w:hAnsi="宋体" w:eastAsia="宋体" w:cs="宋体"/>
          <w:color w:val="auto"/>
          <w:szCs w:val="21"/>
          <w:highlight w:val="none"/>
        </w:rPr>
        <w:t>中标（成交）</w:t>
      </w:r>
      <w:r>
        <w:rPr>
          <w:rFonts w:hint="eastAsia" w:ascii="宋体" w:hAnsi="宋体" w:eastAsia="宋体" w:cs="宋体"/>
          <w:szCs w:val="21"/>
          <w:highlight w:val="none"/>
        </w:rPr>
        <w:t>后，</w:t>
      </w:r>
      <w:r>
        <w:rPr>
          <w:rFonts w:hint="eastAsia" w:ascii="宋体" w:hAnsi="宋体" w:eastAsia="宋体" w:cs="宋体"/>
          <w:color w:val="auto"/>
          <w:szCs w:val="21"/>
          <w:highlight w:val="none"/>
        </w:rPr>
        <w:t>不缴付履约保证金或服务费的；</w:t>
      </w:r>
    </w:p>
    <w:p w14:paraId="3BF2647F">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27.5提出不当要求，进行恶意敲诈的；</w:t>
      </w:r>
    </w:p>
    <w:p w14:paraId="549A5291">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27.6提供虚假材料谋取中标（</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）的；</w:t>
      </w:r>
    </w:p>
    <w:p w14:paraId="479D349A">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27.7提供虚假材料或者未按规定程序进行质疑、投诉、诉讼，影响项目正常进行的；</w:t>
      </w:r>
    </w:p>
    <w:p w14:paraId="63715832">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27.8向代理机构工作人员行贿或提供其他不正当利益的。</w:t>
      </w:r>
    </w:p>
    <w:p w14:paraId="3C471697">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28.成交供应商违反第27条规定，并且导致中标无效的，</w:t>
      </w:r>
      <w:r>
        <w:rPr>
          <w:rFonts w:hint="eastAsia" w:ascii="宋体" w:hAnsi="宋体" w:eastAsia="宋体" w:cs="宋体"/>
          <w:b/>
          <w:szCs w:val="21"/>
          <w:highlight w:val="none"/>
          <w:lang w:eastAsia="zh-CN"/>
        </w:rPr>
        <w:t>采购人</w:t>
      </w:r>
      <w:r>
        <w:rPr>
          <w:rFonts w:hint="eastAsia" w:ascii="宋体" w:hAnsi="宋体" w:eastAsia="宋体" w:cs="宋体"/>
          <w:b/>
          <w:szCs w:val="21"/>
          <w:highlight w:val="none"/>
        </w:rPr>
        <w:t>可以与排位在成交供应商之后第一位的中标候选人签订合同或重新委托进行招标，原成交供应商应承担相应损失（包括但不限于以下损失）：</w:t>
      </w:r>
    </w:p>
    <w:p w14:paraId="74C84B21">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28.1原招标活动产生的合理费用；</w:t>
      </w:r>
    </w:p>
    <w:p w14:paraId="60638645">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sz w:val="30"/>
          <w:szCs w:val="30"/>
          <w:highlight w:val="none"/>
        </w:rPr>
      </w:pPr>
      <w:r>
        <w:rPr>
          <w:rFonts w:hint="eastAsia" w:ascii="宋体" w:hAnsi="宋体" w:eastAsia="宋体" w:cs="宋体"/>
          <w:szCs w:val="21"/>
          <w:highlight w:val="none"/>
        </w:rPr>
        <w:t>28.</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其他相关合理费用。</w:t>
      </w:r>
    </w:p>
    <w:p w14:paraId="714F10B7">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sectPr>
          <w:pgSz w:w="11906" w:h="16838"/>
          <w:pgMar w:top="1361" w:right="1474" w:bottom="1361" w:left="1758" w:header="850" w:footer="992" w:gutter="0"/>
          <w:pgNumType w:chapStyle="1"/>
          <w:cols w:space="720" w:num="1"/>
          <w:docGrid w:type="lines" w:linePitch="312" w:charSpace="0"/>
        </w:sectPr>
      </w:pPr>
    </w:p>
    <w:p w14:paraId="6A91E01B">
      <w:pPr>
        <w:jc w:val="center"/>
        <w:rPr>
          <w:rFonts w:hint="eastAsia" w:ascii="宋体" w:hAnsi="宋体" w:eastAsia="宋体" w:cs="宋体"/>
          <w:b/>
          <w:sz w:val="30"/>
          <w:szCs w:val="30"/>
          <w:highlight w:val="none"/>
        </w:rPr>
      </w:pPr>
      <w:bookmarkStart w:id="2" w:name="_Toc5316"/>
      <w:bookmarkStart w:id="3" w:name="_Toc18641"/>
      <w:r>
        <w:rPr>
          <w:rFonts w:hint="eastAsia" w:ascii="宋体" w:hAnsi="宋体" w:eastAsia="宋体" w:cs="宋体"/>
          <w:b/>
          <w:sz w:val="30"/>
          <w:szCs w:val="30"/>
          <w:highlight w:val="none"/>
        </w:rPr>
        <w:t>第二章  响应文件的组成</w:t>
      </w:r>
      <w:bookmarkEnd w:id="2"/>
    </w:p>
    <w:p w14:paraId="7E95AAFE">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szCs w:val="21"/>
          <w:highlight w:val="none"/>
        </w:rPr>
      </w:pPr>
      <w:r>
        <w:rPr>
          <w:rFonts w:hint="eastAsia" w:ascii="宋体" w:hAnsi="宋体" w:eastAsia="宋体" w:cs="宋体"/>
          <w:b/>
          <w:szCs w:val="21"/>
          <w:highlight w:val="none"/>
        </w:rPr>
        <w:t>一、资格证明材料，复印件须加盖公章，若复印件未加盖公章，视为未提供该项材料。</w:t>
      </w:r>
    </w:p>
    <w:p w14:paraId="7413B197">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*1、响应函；</w:t>
      </w:r>
    </w:p>
    <w:p w14:paraId="708C1A0C">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*2、法定代表人资格证明书；</w:t>
      </w:r>
    </w:p>
    <w:p w14:paraId="713AEC3E">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*3、授权委托书（如果有授权委托情况的，必须提供）；</w:t>
      </w:r>
    </w:p>
    <w:p w14:paraId="611F8612">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*4、有效的法人或者其他组织的营业执照等证明文件复印件；</w:t>
      </w:r>
    </w:p>
    <w:p w14:paraId="0998992A">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、有效的企业资质证书复印件；</w:t>
      </w:r>
    </w:p>
    <w:p w14:paraId="57E61102">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、有效的安全生产许可证复印件；</w:t>
      </w:r>
    </w:p>
    <w:p w14:paraId="505EC355">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、有效的</w:t>
      </w:r>
      <w:r>
        <w:rPr>
          <w:rFonts w:hint="eastAsia" w:ascii="宋体" w:hAnsi="宋体" w:eastAsia="宋体" w:cs="宋体"/>
          <w:szCs w:val="21"/>
          <w:highlight w:val="none"/>
          <w:lang w:val="en-US" w:eastAsia="zh-CN"/>
        </w:rPr>
        <w:t>项目经理</w:t>
      </w:r>
      <w:r>
        <w:rPr>
          <w:rFonts w:hint="eastAsia" w:ascii="宋体" w:hAnsi="宋体" w:eastAsia="宋体" w:cs="宋体"/>
          <w:szCs w:val="21"/>
          <w:highlight w:val="none"/>
        </w:rPr>
        <w:t>建造师注册证书复印件；</w:t>
      </w:r>
    </w:p>
    <w:p w14:paraId="10066135">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、有效的</w:t>
      </w:r>
      <w:r>
        <w:rPr>
          <w:rFonts w:hint="eastAsia" w:ascii="宋体" w:hAnsi="宋体" w:eastAsia="宋体" w:cs="宋体"/>
          <w:szCs w:val="21"/>
          <w:highlight w:val="none"/>
          <w:lang w:val="en-US" w:eastAsia="zh-CN"/>
        </w:rPr>
        <w:t>项目经理</w:t>
      </w:r>
      <w:r>
        <w:rPr>
          <w:rFonts w:hint="eastAsia" w:ascii="宋体" w:hAnsi="宋体" w:eastAsia="宋体" w:cs="宋体"/>
          <w:szCs w:val="21"/>
          <w:highlight w:val="none"/>
        </w:rPr>
        <w:t>建造师安全生产考核合格证书复印件；</w:t>
      </w:r>
    </w:p>
    <w:p w14:paraId="7F18C6E3">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为</w:t>
      </w:r>
      <w:r>
        <w:rPr>
          <w:rFonts w:hint="eastAsia" w:ascii="宋体" w:hAnsi="宋体" w:eastAsia="宋体" w:cs="宋体"/>
          <w:szCs w:val="21"/>
          <w:highlight w:val="none"/>
          <w:lang w:val="en-US" w:eastAsia="zh-CN"/>
        </w:rPr>
        <w:t>项目经理</w:t>
      </w:r>
      <w:r>
        <w:rPr>
          <w:rFonts w:hint="eastAsia" w:ascii="宋体" w:hAnsi="宋体" w:eastAsia="宋体" w:cs="宋体"/>
          <w:szCs w:val="21"/>
          <w:highlight w:val="none"/>
        </w:rPr>
        <w:t>缴纳的近三个月（自开标之日起往前推算）</w:t>
      </w:r>
      <w:r>
        <w:rPr>
          <w:rFonts w:hint="eastAsia" w:ascii="宋体" w:hAnsi="宋体" w:eastAsia="宋体" w:cs="宋体"/>
          <w:szCs w:val="21"/>
          <w:highlight w:val="none"/>
          <w:lang w:val="en-US" w:eastAsia="zh-CN"/>
        </w:rPr>
        <w:t>中的任意一个月社保证明材料</w:t>
      </w:r>
      <w:r>
        <w:rPr>
          <w:rFonts w:hint="eastAsia" w:ascii="宋体" w:hAnsi="宋体" w:eastAsia="宋体" w:cs="宋体"/>
          <w:szCs w:val="21"/>
          <w:highlight w:val="none"/>
        </w:rPr>
        <w:t>；</w:t>
      </w:r>
    </w:p>
    <w:p w14:paraId="21EFF564">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、承诺函；</w:t>
      </w:r>
    </w:p>
    <w:p w14:paraId="562EA902">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、谈判保证金单据</w:t>
      </w:r>
      <w:r>
        <w:rPr>
          <w:rFonts w:hint="eastAsia" w:ascii="宋体" w:hAnsi="宋体" w:cs="宋体"/>
          <w:szCs w:val="21"/>
          <w:highlight w:val="none"/>
          <w:lang w:eastAsia="zh-CN"/>
        </w:rPr>
        <w:t>。</w:t>
      </w:r>
    </w:p>
    <w:p w14:paraId="30495049">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二、价格及有关商务部分材料</w:t>
      </w:r>
    </w:p>
    <w:p w14:paraId="7DA22D30">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*1、报价一览表；</w:t>
      </w:r>
    </w:p>
    <w:p w14:paraId="7D639634">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谈判总价</w:t>
      </w:r>
      <w:r>
        <w:rPr>
          <w:rFonts w:hint="eastAsia" w:ascii="宋体" w:hAnsi="宋体" w:eastAsia="宋体" w:cs="宋体"/>
          <w:szCs w:val="21"/>
          <w:highlight w:val="none"/>
        </w:rPr>
        <w:t>；</w:t>
      </w:r>
    </w:p>
    <w:p w14:paraId="24DEB9D4">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*3、工程量清单报价表。</w:t>
      </w:r>
    </w:p>
    <w:p w14:paraId="38209C62">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三、技术部分材料</w:t>
      </w:r>
    </w:p>
    <w:p w14:paraId="12CB8704">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1、类似项目业绩；</w:t>
      </w:r>
    </w:p>
    <w:p w14:paraId="07E9B7F1">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*2、质量保证、服务承诺；</w:t>
      </w:r>
    </w:p>
    <w:p w14:paraId="3A75702A">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、偏离表；</w:t>
      </w:r>
    </w:p>
    <w:p w14:paraId="0D79302D">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、对本次</w:t>
      </w:r>
      <w:r>
        <w:rPr>
          <w:rFonts w:hint="eastAsia" w:ascii="宋体" w:hAnsi="宋体" w:eastAsia="宋体" w:cs="宋体"/>
          <w:szCs w:val="21"/>
          <w:highlight w:val="none"/>
          <w:lang w:val="en-US" w:eastAsia="zh-CN"/>
        </w:rPr>
        <w:t>谈判</w:t>
      </w:r>
      <w:r>
        <w:rPr>
          <w:rFonts w:hint="eastAsia" w:ascii="宋体" w:hAnsi="宋体" w:eastAsia="宋体" w:cs="宋体"/>
          <w:szCs w:val="21"/>
          <w:highlight w:val="none"/>
        </w:rPr>
        <w:t>其他方面的详细说明(供应商视需要自行编写)。</w:t>
      </w:r>
    </w:p>
    <w:p w14:paraId="24B14A5D">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四、说明</w:t>
      </w:r>
    </w:p>
    <w:p w14:paraId="4C0E175D">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1、上述带“*”条款供应商必须在响应文件中提供，否则将作为无效响应处理。</w:t>
      </w:r>
      <w:r>
        <w:rPr>
          <w:rFonts w:hint="eastAsia" w:ascii="宋体" w:hAnsi="宋体" w:eastAsia="宋体" w:cs="宋体"/>
          <w:b/>
          <w:bCs/>
          <w:szCs w:val="21"/>
          <w:highlight w:val="none"/>
        </w:rPr>
        <w:t>所有资料若有缺失或无效将可能导致投标无效且不允许在投标截止后补正。响应文件中提供复印件，并按要求（如标明原件）将原件（或公证件）在投标截止时间前随同响应文件一并提交以供核查，过时不予接收。</w:t>
      </w:r>
    </w:p>
    <w:p w14:paraId="60C249A8">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2、对</w:t>
      </w:r>
      <w:r>
        <w:rPr>
          <w:rFonts w:hint="eastAsia" w:ascii="宋体" w:hAnsi="宋体" w:eastAsia="宋体" w:cs="宋体"/>
          <w:szCs w:val="21"/>
          <w:highlight w:val="none"/>
          <w:lang w:val="en-US" w:eastAsia="zh-CN"/>
        </w:rPr>
        <w:t>采购人明确自拟</w:t>
      </w:r>
      <w:r>
        <w:rPr>
          <w:rFonts w:hint="eastAsia" w:ascii="宋体" w:hAnsi="宋体" w:eastAsia="宋体" w:cs="宋体"/>
          <w:szCs w:val="21"/>
          <w:highlight w:val="none"/>
        </w:rPr>
        <w:t>的格式 ，投标单位可根据自身情况进行补充和修改，但补充和修改不得造成与</w:t>
      </w:r>
      <w:r>
        <w:rPr>
          <w:rFonts w:hint="eastAsia" w:ascii="宋体" w:hAnsi="宋体" w:eastAsia="宋体" w:cs="宋体"/>
          <w:szCs w:val="21"/>
          <w:highlight w:val="none"/>
          <w:lang w:val="en-US" w:eastAsia="zh-CN"/>
        </w:rPr>
        <w:t>谈判文件</w:t>
      </w:r>
      <w:r>
        <w:rPr>
          <w:rFonts w:hint="eastAsia" w:ascii="宋体" w:hAnsi="宋体" w:eastAsia="宋体" w:cs="宋体"/>
          <w:szCs w:val="21"/>
          <w:highlight w:val="none"/>
        </w:rPr>
        <w:t>内容有实质性的违背。投标单位可提供其它相关的证明材料（不限于此）。</w:t>
      </w:r>
    </w:p>
    <w:p w14:paraId="27E684FB">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sz w:val="30"/>
          <w:szCs w:val="30"/>
          <w:highlight w:val="none"/>
        </w:rPr>
      </w:pPr>
      <w:r>
        <w:rPr>
          <w:rFonts w:hint="eastAsia" w:ascii="宋体" w:hAnsi="宋体" w:eastAsia="宋体" w:cs="宋体"/>
          <w:b/>
          <w:bCs/>
          <w:szCs w:val="21"/>
          <w:highlight w:val="none"/>
        </w:rPr>
        <w:t>3</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所有复印件须保证清晰，如因清晰度不够引起的一切后果均由供应商自行承担。</w:t>
      </w:r>
    </w:p>
    <w:p w14:paraId="19169326">
      <w:pPr>
        <w:spacing w:line="360" w:lineRule="exact"/>
        <w:jc w:val="center"/>
        <w:rPr>
          <w:rFonts w:hint="eastAsia" w:ascii="宋体" w:hAnsi="宋体" w:eastAsia="宋体" w:cs="宋体"/>
          <w:b/>
          <w:sz w:val="30"/>
          <w:szCs w:val="30"/>
          <w:highlight w:val="none"/>
        </w:rPr>
      </w:pPr>
    </w:p>
    <w:p w14:paraId="4AB5A389">
      <w:pPr>
        <w:spacing w:line="360" w:lineRule="exact"/>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第三章  谈判内容及技术要求</w:t>
      </w:r>
      <w:bookmarkEnd w:id="3"/>
    </w:p>
    <w:p w14:paraId="1C26B44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szCs w:val="21"/>
          <w:highlight w:val="none"/>
        </w:rPr>
      </w:pPr>
      <w:bookmarkStart w:id="4" w:name="OLE_LINK2"/>
      <w:r>
        <w:rPr>
          <w:rFonts w:hint="eastAsia" w:ascii="宋体" w:hAnsi="宋体" w:eastAsia="宋体" w:cs="宋体"/>
          <w:b/>
          <w:bCs/>
          <w:szCs w:val="21"/>
          <w:highlight w:val="none"/>
        </w:rPr>
        <w:t>一、项目概况</w:t>
      </w:r>
    </w:p>
    <w:p w14:paraId="1720234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Times New Roman"/>
          <w:szCs w:val="21"/>
          <w:highlight w:val="none"/>
          <w:lang w:val="en-US" w:eastAsia="zh-CN"/>
        </w:rPr>
        <w:t>本工程为2024年紫荆公园塑木平台、青枫公园北码头维修，</w:t>
      </w:r>
      <w:r>
        <w:rPr>
          <w:rFonts w:hint="eastAsia" w:ascii="宋体" w:hAnsi="宋体" w:eastAsia="宋体" w:cs="宋体"/>
          <w:szCs w:val="21"/>
          <w:highlight w:val="none"/>
          <w:lang w:val="en-US" w:eastAsia="zh-CN"/>
        </w:rPr>
        <w:t>项目内容包括紫荆公园塑木平台</w:t>
      </w:r>
      <w:r>
        <w:rPr>
          <w:rFonts w:hint="eastAsia" w:ascii="宋体" w:hAnsi="宋体" w:cs="宋体"/>
          <w:szCs w:val="21"/>
          <w:highlight w:val="none"/>
          <w:lang w:val="en-US" w:eastAsia="zh-CN"/>
        </w:rPr>
        <w:t>维修，增加铝合金栏杆、橡胶运动场地、运动围网和浮筒平台改造等施工</w:t>
      </w:r>
      <w:r>
        <w:rPr>
          <w:rFonts w:hint="eastAsia" w:ascii="宋体" w:hAnsi="宋体" w:eastAsia="宋体" w:cs="Times New Roman"/>
          <w:szCs w:val="21"/>
          <w:highlight w:val="none"/>
          <w:lang w:val="en-US" w:eastAsia="zh-CN"/>
        </w:rPr>
        <w:t>。</w:t>
      </w:r>
      <w:r>
        <w:rPr>
          <w:rFonts w:hint="eastAsia" w:ascii="宋体" w:hAnsi="宋体" w:eastAsia="宋体" w:cs="宋体"/>
          <w:szCs w:val="21"/>
          <w:highlight w:val="none"/>
        </w:rPr>
        <w:t>包括但不限于</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及其基本技术要求范围内相应工程开工前的准备（包括现场踏勘、技术核对等）、技术资料、施工、技术服务、主管单位验收、质保期及维保服务和</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所要求的相关工程等全部内容。</w:t>
      </w:r>
    </w:p>
    <w:bookmarkEnd w:id="4"/>
    <w:p w14:paraId="7E86341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szCs w:val="21"/>
          <w:highlight w:val="none"/>
          <w:lang w:val="en-US" w:eastAsia="zh-CN"/>
        </w:rPr>
      </w:pPr>
      <w:bookmarkStart w:id="5" w:name="_Toc545"/>
      <w:r>
        <w:rPr>
          <w:rFonts w:hint="eastAsia" w:ascii="宋体" w:hAnsi="宋体" w:eastAsia="宋体" w:cs="宋体"/>
          <w:b/>
          <w:bCs/>
          <w:szCs w:val="21"/>
          <w:highlight w:val="none"/>
          <w:lang w:val="en-US" w:eastAsia="zh-CN"/>
        </w:rPr>
        <w:t>二</w:t>
      </w: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合同履行期限</w:t>
      </w:r>
    </w:p>
    <w:p w14:paraId="6CC0F82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收到采购人发出的书面</w:t>
      </w:r>
      <w:r>
        <w:rPr>
          <w:rFonts w:hint="eastAsia" w:ascii="宋体" w:hAnsi="宋体" w:cs="宋体"/>
          <w:sz w:val="21"/>
          <w:szCs w:val="21"/>
          <w:highlight w:val="none"/>
          <w:lang w:val="en-US" w:eastAsia="zh-CN"/>
        </w:rPr>
        <w:t>通知</w:t>
      </w:r>
      <w:r>
        <w:rPr>
          <w:rFonts w:hint="eastAsia" w:ascii="宋体" w:hAnsi="宋体" w:eastAsia="宋体" w:cs="宋体"/>
          <w:sz w:val="21"/>
          <w:szCs w:val="21"/>
          <w:highlight w:val="none"/>
          <w:lang w:val="en-US" w:eastAsia="zh-CN"/>
        </w:rPr>
        <w:t>后3日内开工，并在</w:t>
      </w:r>
      <w:r>
        <w:rPr>
          <w:rFonts w:hint="eastAsia" w:ascii="宋体" w:hAnsi="宋体" w:cs="宋体"/>
          <w:sz w:val="21"/>
          <w:szCs w:val="21"/>
          <w:highlight w:val="none"/>
          <w:lang w:val="en-US" w:eastAsia="zh-CN"/>
        </w:rPr>
        <w:t>45</w:t>
      </w:r>
      <w:r>
        <w:rPr>
          <w:rFonts w:hint="eastAsia" w:ascii="宋体" w:hAnsi="宋体" w:eastAsia="宋体" w:cs="宋体"/>
          <w:sz w:val="21"/>
          <w:szCs w:val="21"/>
          <w:highlight w:val="none"/>
          <w:lang w:val="en-US" w:eastAsia="zh-CN"/>
        </w:rPr>
        <w:t>个日历日内完工。</w:t>
      </w:r>
    </w:p>
    <w:p w14:paraId="162C5F1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三、承包方式及保修期</w:t>
      </w:r>
    </w:p>
    <w:p w14:paraId="5A125B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1、承包方式：包工包料</w:t>
      </w:r>
    </w:p>
    <w:p w14:paraId="3748FC1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2、保修期：贰年</w:t>
      </w:r>
    </w:p>
    <w:p w14:paraId="2073E2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w:t>
      </w:r>
      <w:r>
        <w:rPr>
          <w:rFonts w:hint="eastAsia" w:ascii="宋体" w:hAnsi="宋体" w:eastAsia="宋体" w:cs="宋体"/>
          <w:b/>
          <w:bCs/>
          <w:color w:val="000000"/>
          <w:kern w:val="0"/>
          <w:sz w:val="21"/>
          <w:szCs w:val="21"/>
          <w:highlight w:val="none"/>
        </w:rPr>
        <w:t>质量要求</w:t>
      </w:r>
    </w:p>
    <w:p w14:paraId="54C77B4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1、工程质量标准：符合中华人民共和国《建筑工程施工质量验收统一标准》等建筑工程施工质量验收规范的合格标准</w:t>
      </w:r>
      <w:r>
        <w:rPr>
          <w:rFonts w:hint="eastAsia" w:ascii="宋体" w:hAnsi="宋体" w:cs="宋体"/>
          <w:sz w:val="21"/>
          <w:szCs w:val="21"/>
          <w:highlight w:val="none"/>
          <w:lang w:val="en-US" w:eastAsia="zh-CN"/>
        </w:rPr>
        <w:t>，一次性验收合格。</w:t>
      </w:r>
    </w:p>
    <w:p w14:paraId="6AF47F4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2、工程规范以现行的施工项目任务期间国家和行业新颁布施行的规范、规程为准。</w:t>
      </w:r>
    </w:p>
    <w:p w14:paraId="464292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kern w:val="0"/>
          <w:szCs w:val="21"/>
          <w:highlight w:val="none"/>
          <w:lang w:val="en-US" w:eastAsia="zh-CN"/>
        </w:rPr>
      </w:pPr>
      <w:r>
        <w:rPr>
          <w:rFonts w:hint="eastAsia" w:ascii="宋体" w:hAnsi="宋体" w:eastAsia="宋体" w:cs="宋体"/>
          <w:b/>
          <w:bCs/>
          <w:color w:val="000000"/>
          <w:kern w:val="0"/>
          <w:szCs w:val="21"/>
          <w:highlight w:val="none"/>
          <w:lang w:val="en-US" w:eastAsia="zh-CN"/>
        </w:rPr>
        <w:t>五、付款方式</w:t>
      </w:r>
    </w:p>
    <w:p w14:paraId="65737C7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1、合同签订后支付合同总价20%的预付款。</w:t>
      </w:r>
    </w:p>
    <w:p w14:paraId="5AE41DC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2、工程全部竣工验收合格后，工程款付至合同总价的80%。</w:t>
      </w:r>
    </w:p>
    <w:p w14:paraId="75CEED5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sz w:val="21"/>
          <w:szCs w:val="21"/>
          <w:highlight w:val="none"/>
          <w:lang w:val="en-US" w:eastAsia="zh-CN"/>
        </w:rPr>
        <w:t>3、工程决算完成，按要求开具发票，经采购人、审计审定后付至审定价的100%。</w:t>
      </w:r>
    </w:p>
    <w:p w14:paraId="121E82A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lang w:val="en-US" w:eastAsia="zh-CN"/>
        </w:rPr>
        <w:t>六</w:t>
      </w:r>
      <w:r>
        <w:rPr>
          <w:rFonts w:hint="eastAsia" w:ascii="宋体" w:hAnsi="宋体" w:eastAsia="宋体" w:cs="宋体"/>
          <w:b/>
          <w:kern w:val="0"/>
          <w:sz w:val="21"/>
          <w:szCs w:val="21"/>
          <w:highlight w:val="none"/>
        </w:rPr>
        <w:t>、工程量清单</w:t>
      </w:r>
      <w:r>
        <w:rPr>
          <w:rFonts w:hint="eastAsia" w:ascii="宋体" w:hAnsi="宋体" w:eastAsia="宋体" w:cs="宋体"/>
          <w:kern w:val="0"/>
          <w:sz w:val="21"/>
          <w:szCs w:val="21"/>
          <w:highlight w:val="none"/>
        </w:rPr>
        <w:t>：详见附件。</w:t>
      </w:r>
    </w:p>
    <w:p w14:paraId="7017F13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kern w:val="0"/>
          <w:sz w:val="21"/>
          <w:szCs w:val="21"/>
          <w:highlight w:val="none"/>
          <w:lang w:eastAsia="zh-CN"/>
        </w:rPr>
      </w:pPr>
      <w:r>
        <w:rPr>
          <w:rFonts w:hint="eastAsia" w:ascii="宋体" w:hAnsi="宋体" w:eastAsia="宋体" w:cs="宋体"/>
          <w:b/>
          <w:kern w:val="0"/>
          <w:sz w:val="21"/>
          <w:szCs w:val="21"/>
          <w:highlight w:val="none"/>
          <w:lang w:val="en-US" w:eastAsia="zh-CN"/>
        </w:rPr>
        <w:t>七</w:t>
      </w:r>
      <w:r>
        <w:rPr>
          <w:rFonts w:hint="eastAsia" w:ascii="宋体" w:hAnsi="宋体" w:eastAsia="宋体" w:cs="宋体"/>
          <w:b/>
          <w:kern w:val="0"/>
          <w:sz w:val="21"/>
          <w:szCs w:val="21"/>
          <w:highlight w:val="none"/>
        </w:rPr>
        <w:t>、清单编制说明</w:t>
      </w:r>
    </w:p>
    <w:p w14:paraId="69377EC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1、工程概况</w:t>
      </w:r>
    </w:p>
    <w:p w14:paraId="701875C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w:t>
      </w:r>
      <w:r>
        <w:rPr>
          <w:rFonts w:hint="eastAsia" w:ascii="宋体" w:hAnsi="宋体" w:eastAsia="宋体" w:cs="Times New Roman"/>
          <w:szCs w:val="21"/>
          <w:highlight w:val="none"/>
          <w:lang w:val="en-US" w:eastAsia="zh-CN"/>
        </w:rPr>
        <w:t>本工程为2024年紫荆公园塑木平台、青枫公园北码头维修，</w:t>
      </w:r>
      <w:r>
        <w:rPr>
          <w:rFonts w:hint="eastAsia" w:ascii="宋体" w:hAnsi="宋体" w:eastAsia="宋体" w:cs="宋体"/>
          <w:szCs w:val="21"/>
          <w:highlight w:val="none"/>
          <w:lang w:val="en-US" w:eastAsia="zh-CN"/>
        </w:rPr>
        <w:t>项目内容包括紫荆公园塑木平台</w:t>
      </w:r>
      <w:r>
        <w:rPr>
          <w:rFonts w:hint="eastAsia" w:ascii="宋体" w:hAnsi="宋体" w:cs="宋体"/>
          <w:szCs w:val="21"/>
          <w:highlight w:val="none"/>
          <w:lang w:val="en-US" w:eastAsia="zh-CN"/>
        </w:rPr>
        <w:t>维修，增加铝合金栏杆、橡胶运动场地、运动围网和浮筒平台改造等施工</w:t>
      </w:r>
      <w:r>
        <w:rPr>
          <w:rFonts w:hint="eastAsia" w:ascii="宋体" w:hAnsi="宋体" w:eastAsia="宋体" w:cs="Times New Roman"/>
          <w:szCs w:val="21"/>
          <w:highlight w:val="none"/>
          <w:lang w:val="en-US" w:eastAsia="zh-CN"/>
        </w:rPr>
        <w:t>。</w:t>
      </w:r>
      <w:r>
        <w:rPr>
          <w:rFonts w:hint="eastAsia" w:ascii="宋体" w:hAnsi="宋体" w:eastAsia="宋体" w:cs="宋体"/>
          <w:b w:val="0"/>
          <w:bCs/>
          <w:sz w:val="21"/>
          <w:szCs w:val="21"/>
          <w:highlight w:val="none"/>
          <w:lang w:val="en-US" w:eastAsia="zh-CN"/>
        </w:rPr>
        <w:t>具体详见工程量清单。</w:t>
      </w:r>
    </w:p>
    <w:p w14:paraId="357D657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1.2主要做法：详见相关设计图。</w:t>
      </w:r>
    </w:p>
    <w:p w14:paraId="19B7554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2、编制范围：</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提供的图纸范围内的</w:t>
      </w:r>
      <w:r>
        <w:rPr>
          <w:rFonts w:hint="eastAsia" w:ascii="宋体" w:hAnsi="宋体" w:cs="宋体"/>
          <w:b w:val="0"/>
          <w:bCs/>
          <w:sz w:val="21"/>
          <w:szCs w:val="21"/>
          <w:highlight w:val="none"/>
          <w:lang w:val="en-US" w:eastAsia="zh-CN"/>
        </w:rPr>
        <w:t>维修改造</w:t>
      </w:r>
      <w:r>
        <w:rPr>
          <w:rFonts w:hint="eastAsia" w:ascii="宋体" w:hAnsi="宋体" w:eastAsia="宋体" w:cs="宋体"/>
          <w:b w:val="0"/>
          <w:bCs/>
          <w:sz w:val="21"/>
          <w:szCs w:val="21"/>
          <w:highlight w:val="none"/>
          <w:lang w:val="en-US" w:eastAsia="zh-CN"/>
        </w:rPr>
        <w:t>工程等，具体详见工程量清单。</w:t>
      </w:r>
    </w:p>
    <w:p w14:paraId="00C26E7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3、编制依据</w:t>
      </w:r>
    </w:p>
    <w:p w14:paraId="503C798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w:t>
      </w:r>
      <w:r>
        <w:rPr>
          <w:rFonts w:hint="eastAsia" w:ascii="宋体" w:hAnsi="宋体"/>
          <w:szCs w:val="21"/>
          <w:highlight w:val="none"/>
        </w:rPr>
        <w:t>本工程量清单根据《建设工程工程量清单计价规范》（GB50500-2013）、《房屋建筑与装饰工程工程量计算规范》（GB50854-2013）、《江苏省建筑与装饰工程计价定额》（2014 版）</w:t>
      </w:r>
      <w:r>
        <w:rPr>
          <w:rFonts w:hint="eastAsia" w:ascii="宋体" w:hAnsi="宋体"/>
          <w:szCs w:val="21"/>
          <w:highlight w:val="none"/>
          <w:lang w:eastAsia="zh-CN"/>
        </w:rPr>
        <w:t>、</w:t>
      </w:r>
      <w:r>
        <w:rPr>
          <w:rFonts w:hint="eastAsia" w:ascii="宋体" w:hAnsi="宋体"/>
          <w:szCs w:val="21"/>
          <w:highlight w:val="none"/>
        </w:rPr>
        <w:t>《园林绿化工程工程量计算规范》（GB50858-2013）</w:t>
      </w:r>
      <w:r>
        <w:rPr>
          <w:rFonts w:hint="eastAsia" w:ascii="宋体" w:hAnsi="宋体"/>
          <w:szCs w:val="21"/>
          <w:highlight w:val="none"/>
          <w:lang w:eastAsia="zh-CN"/>
        </w:rPr>
        <w:t>、</w:t>
      </w:r>
      <w:r>
        <w:rPr>
          <w:rFonts w:hint="eastAsia" w:ascii="宋体" w:hAnsi="宋体"/>
          <w:szCs w:val="21"/>
          <w:highlight w:val="none"/>
        </w:rPr>
        <w:t>《江苏省安装工程计价定额</w:t>
      </w:r>
      <w:r>
        <w:rPr>
          <w:rFonts w:hint="eastAsia" w:ascii="宋体" w:hAnsi="宋体"/>
          <w:szCs w:val="21"/>
          <w:highlight w:val="none"/>
          <w:lang w:eastAsia="zh-CN"/>
        </w:rPr>
        <w:t>》</w:t>
      </w:r>
      <w:r>
        <w:rPr>
          <w:rFonts w:hint="eastAsia" w:ascii="宋体" w:hAnsi="宋体"/>
          <w:szCs w:val="21"/>
          <w:highlight w:val="none"/>
        </w:rPr>
        <w:t>（2014 版）</w:t>
      </w:r>
      <w:r>
        <w:rPr>
          <w:rFonts w:hint="eastAsia" w:ascii="宋体" w:hAnsi="宋体"/>
          <w:szCs w:val="21"/>
          <w:highlight w:val="none"/>
          <w:lang w:eastAsia="zh-CN"/>
        </w:rPr>
        <w:t>、</w:t>
      </w:r>
      <w:r>
        <w:rPr>
          <w:rFonts w:hint="eastAsia" w:ascii="宋体" w:hAnsi="宋体"/>
          <w:szCs w:val="21"/>
          <w:highlight w:val="none"/>
        </w:rPr>
        <w:t>《江苏省</w:t>
      </w:r>
      <w:r>
        <w:rPr>
          <w:rFonts w:hint="eastAsia" w:ascii="宋体" w:hAnsi="宋体"/>
          <w:szCs w:val="21"/>
          <w:highlight w:val="none"/>
          <w:lang w:eastAsia="zh-CN"/>
        </w:rPr>
        <w:t>房屋修缮</w:t>
      </w:r>
      <w:r>
        <w:rPr>
          <w:rFonts w:hint="eastAsia" w:ascii="宋体" w:hAnsi="宋体"/>
          <w:szCs w:val="21"/>
          <w:highlight w:val="none"/>
        </w:rPr>
        <w:t>工程计价</w:t>
      </w:r>
      <w:r>
        <w:rPr>
          <w:rFonts w:hint="eastAsia" w:ascii="宋体" w:hAnsi="宋体"/>
          <w:szCs w:val="21"/>
          <w:highlight w:val="none"/>
          <w:lang w:eastAsia="zh-CN"/>
        </w:rPr>
        <w:t>表》</w:t>
      </w:r>
      <w:r>
        <w:rPr>
          <w:rFonts w:hint="eastAsia" w:ascii="宋体" w:hAnsi="宋体"/>
          <w:szCs w:val="21"/>
          <w:highlight w:val="none"/>
        </w:rPr>
        <w:t>（201</w:t>
      </w:r>
      <w:r>
        <w:rPr>
          <w:rFonts w:hint="eastAsia" w:ascii="宋体" w:hAnsi="宋体"/>
          <w:szCs w:val="21"/>
          <w:highlight w:val="none"/>
          <w:lang w:val="en-US" w:eastAsia="zh-CN"/>
        </w:rPr>
        <w:t>0</w:t>
      </w:r>
      <w:r>
        <w:rPr>
          <w:rFonts w:hint="eastAsia" w:ascii="宋体" w:hAnsi="宋体"/>
          <w:szCs w:val="21"/>
          <w:highlight w:val="none"/>
        </w:rPr>
        <w:t xml:space="preserve"> 版）</w:t>
      </w:r>
      <w:r>
        <w:rPr>
          <w:rFonts w:hint="eastAsia" w:ascii="宋体" w:hAnsi="宋体"/>
          <w:szCs w:val="21"/>
          <w:highlight w:val="none"/>
          <w:lang w:eastAsia="zh-CN"/>
        </w:rPr>
        <w:t>、</w:t>
      </w:r>
      <w:r>
        <w:rPr>
          <w:rFonts w:hint="eastAsia" w:ascii="宋体" w:hAnsi="宋体"/>
          <w:szCs w:val="21"/>
          <w:highlight w:val="none"/>
        </w:rPr>
        <w:t>《江苏省</w:t>
      </w:r>
      <w:r>
        <w:rPr>
          <w:rFonts w:hint="eastAsia" w:ascii="宋体" w:hAnsi="宋体"/>
          <w:szCs w:val="21"/>
          <w:highlight w:val="none"/>
          <w:lang w:eastAsia="zh-CN"/>
        </w:rPr>
        <w:t>园林古建</w:t>
      </w:r>
      <w:r>
        <w:rPr>
          <w:rFonts w:hint="eastAsia" w:ascii="宋体" w:hAnsi="宋体"/>
          <w:szCs w:val="21"/>
          <w:highlight w:val="none"/>
        </w:rPr>
        <w:t>工程计价</w:t>
      </w:r>
      <w:r>
        <w:rPr>
          <w:rFonts w:hint="eastAsia" w:ascii="宋体" w:hAnsi="宋体"/>
          <w:szCs w:val="21"/>
          <w:highlight w:val="none"/>
          <w:lang w:eastAsia="zh-CN"/>
        </w:rPr>
        <w:t>表》</w:t>
      </w:r>
      <w:r>
        <w:rPr>
          <w:rFonts w:hint="eastAsia" w:ascii="宋体" w:hAnsi="宋体"/>
          <w:szCs w:val="21"/>
          <w:highlight w:val="none"/>
        </w:rPr>
        <w:t>（20</w:t>
      </w:r>
      <w:r>
        <w:rPr>
          <w:rFonts w:hint="eastAsia" w:ascii="宋体" w:hAnsi="宋体"/>
          <w:szCs w:val="21"/>
          <w:highlight w:val="none"/>
          <w:lang w:val="en-US" w:eastAsia="zh-CN"/>
        </w:rPr>
        <w:t>07</w:t>
      </w:r>
      <w:r>
        <w:rPr>
          <w:rFonts w:hint="eastAsia" w:ascii="宋体" w:hAnsi="宋体"/>
          <w:szCs w:val="21"/>
          <w:highlight w:val="none"/>
        </w:rPr>
        <w:t xml:space="preserve"> 版）</w:t>
      </w:r>
      <w:r>
        <w:rPr>
          <w:rFonts w:hint="eastAsia" w:ascii="宋体" w:hAnsi="宋体"/>
          <w:szCs w:val="21"/>
          <w:highlight w:val="none"/>
          <w:lang w:eastAsia="zh-CN"/>
        </w:rPr>
        <w:t>及</w:t>
      </w:r>
      <w:r>
        <w:rPr>
          <w:rFonts w:hint="eastAsia" w:ascii="宋体" w:hAnsi="宋体"/>
          <w:szCs w:val="21"/>
          <w:highlight w:val="none"/>
        </w:rPr>
        <w:t>配套的《江苏省建设工程费用定额》（2014 版）、苏建价[2014]448号、常建[2014]279 号、苏建价[2016]154 号、常建[2016]94 号、常建[2019]1 号等现行文件编制。</w:t>
      </w:r>
    </w:p>
    <w:p w14:paraId="5B1838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3.2清单根据</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提供设计的施工图（电子版）、设计回复、现场实际情况及</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要求编制。</w:t>
      </w:r>
    </w:p>
    <w:p w14:paraId="699FA0C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3.3</w:t>
      </w:r>
      <w:r>
        <w:rPr>
          <w:rFonts w:hint="eastAsia" w:ascii="宋体" w:hAnsi="宋体"/>
          <w:szCs w:val="21"/>
          <w:highlight w:val="none"/>
        </w:rPr>
        <w:t>控制价人工工资按照苏建函价[202</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348</w:t>
      </w:r>
      <w:r>
        <w:rPr>
          <w:rFonts w:hint="eastAsia" w:ascii="宋体" w:hAnsi="宋体"/>
          <w:szCs w:val="21"/>
          <w:highlight w:val="none"/>
        </w:rPr>
        <w:t>号文。</w:t>
      </w:r>
    </w:p>
    <w:p w14:paraId="174E2A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4、工程量清单部分</w:t>
      </w:r>
    </w:p>
    <w:p w14:paraId="216E739D">
      <w:pPr>
        <w:spacing w:line="440" w:lineRule="exact"/>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4.1</w:t>
      </w:r>
      <w:r>
        <w:rPr>
          <w:rFonts w:hint="eastAsia" w:ascii="宋体" w:hAnsi="宋体"/>
          <w:szCs w:val="21"/>
          <w:highlight w:val="none"/>
          <w:lang w:val="en-US" w:eastAsia="zh-CN"/>
        </w:rPr>
        <w:t>本项目塑木地板及浮筒码头均以修复为主，具体规格、样式参考原有设施，需要满足现场使用及采购人要求。</w:t>
      </w:r>
    </w:p>
    <w:p w14:paraId="58E4AD9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4.2所有</w:t>
      </w:r>
      <w:r>
        <w:rPr>
          <w:rFonts w:hint="eastAsia" w:ascii="宋体" w:hAnsi="宋体" w:cs="宋体"/>
          <w:b w:val="0"/>
          <w:bCs/>
          <w:sz w:val="21"/>
          <w:szCs w:val="21"/>
          <w:highlight w:val="none"/>
          <w:lang w:val="en-US" w:eastAsia="zh-CN"/>
        </w:rPr>
        <w:t>设施小品</w:t>
      </w:r>
      <w:r>
        <w:rPr>
          <w:rFonts w:hint="eastAsia" w:ascii="宋体" w:hAnsi="宋体" w:eastAsia="宋体" w:cs="宋体"/>
          <w:b w:val="0"/>
          <w:bCs/>
          <w:sz w:val="21"/>
          <w:szCs w:val="21"/>
          <w:highlight w:val="none"/>
          <w:lang w:val="en-US" w:eastAsia="zh-CN"/>
        </w:rPr>
        <w:t>的内容、规格、参数由</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提供，价格按市场询价组价。</w:t>
      </w:r>
    </w:p>
    <w:p w14:paraId="08364D4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5、其它须说明问题</w:t>
      </w:r>
    </w:p>
    <w:p w14:paraId="4FA71F9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5.1对措施项目清单，</w:t>
      </w:r>
      <w:r>
        <w:rPr>
          <w:rFonts w:hint="eastAsia" w:ascii="宋体" w:hAnsi="宋体" w:cs="宋体"/>
          <w:b w:val="0"/>
          <w:bCs/>
          <w:sz w:val="21"/>
          <w:szCs w:val="21"/>
          <w:highlight w:val="none"/>
          <w:lang w:val="en-US" w:eastAsia="zh-CN"/>
        </w:rPr>
        <w:t>供应商</w:t>
      </w:r>
      <w:r>
        <w:rPr>
          <w:rFonts w:hint="eastAsia" w:ascii="宋体" w:hAnsi="宋体" w:eastAsia="宋体" w:cs="宋体"/>
          <w:b w:val="0"/>
          <w:bCs/>
          <w:sz w:val="21"/>
          <w:szCs w:val="21"/>
          <w:highlight w:val="none"/>
          <w:lang w:val="en-US" w:eastAsia="zh-CN"/>
        </w:rPr>
        <w:t>投标时自行考虑施工方案及自主报价。</w:t>
      </w:r>
    </w:p>
    <w:p w14:paraId="6500804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highlight w:val="none"/>
          <w:lang w:val="en-US" w:eastAsia="zh-CN"/>
        </w:rPr>
      </w:pPr>
      <w:r>
        <w:rPr>
          <w:rFonts w:hint="eastAsia" w:ascii="宋体" w:hAnsi="宋体" w:eastAsia="宋体" w:cs="宋体"/>
          <w:b w:val="0"/>
          <w:bCs/>
          <w:sz w:val="21"/>
          <w:szCs w:val="21"/>
          <w:highlight w:val="none"/>
          <w:lang w:val="en-US" w:eastAsia="zh-CN"/>
        </w:rPr>
        <w:t>5.2清单、图纸（含审图意见及回复、变更、会审纪要、相关图集）互为补充，清单有描述的依据清单为主，清单没描述的依据图纸为准，清单与图纸有矛盾严格按照清单做法要求；每条清单项目应包含图纸设计所有项目及实际将发生的隐性项目。</w:t>
      </w:r>
    </w:p>
    <w:p w14:paraId="7852238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6</w:t>
      </w:r>
      <w:r>
        <w:rPr>
          <w:rFonts w:hint="eastAsia" w:ascii="宋体" w:hAnsi="宋体" w:eastAsia="宋体" w:cs="宋体"/>
          <w:b w:val="0"/>
          <w:bCs/>
          <w:sz w:val="21"/>
          <w:szCs w:val="21"/>
          <w:highlight w:val="none"/>
          <w:lang w:val="en-US" w:eastAsia="zh-CN"/>
        </w:rPr>
        <w:t>、</w:t>
      </w:r>
      <w:r>
        <w:rPr>
          <w:rFonts w:hint="eastAsia" w:ascii="宋体" w:hAnsi="宋体"/>
          <w:szCs w:val="21"/>
          <w:highlight w:val="none"/>
        </w:rPr>
        <w:t>材料价格参见常州市工程造价信息202</w:t>
      </w:r>
      <w:r>
        <w:rPr>
          <w:rFonts w:hint="eastAsia" w:ascii="宋体" w:hAnsi="宋体"/>
          <w:szCs w:val="21"/>
          <w:highlight w:val="none"/>
          <w:lang w:val="en-US" w:eastAsia="zh-CN"/>
        </w:rPr>
        <w:t>4</w:t>
      </w:r>
      <w:r>
        <w:rPr>
          <w:rFonts w:hint="eastAsia" w:ascii="宋体" w:hAnsi="宋体"/>
          <w:szCs w:val="21"/>
          <w:highlight w:val="none"/>
        </w:rPr>
        <w:t>年</w:t>
      </w:r>
      <w:r>
        <w:rPr>
          <w:rFonts w:hint="eastAsia" w:ascii="宋体" w:hAnsi="宋体"/>
          <w:szCs w:val="21"/>
          <w:highlight w:val="none"/>
          <w:lang w:val="en-US" w:eastAsia="zh-CN"/>
        </w:rPr>
        <w:t>8月</w:t>
      </w:r>
      <w:r>
        <w:rPr>
          <w:rFonts w:hint="eastAsia" w:ascii="宋体" w:hAnsi="宋体"/>
          <w:szCs w:val="21"/>
          <w:highlight w:val="none"/>
        </w:rPr>
        <w:t>除税价（缺项则前推1~2个月（除税价）除税价计算；如无则按市场询价（除税价）</w:t>
      </w:r>
      <w:r>
        <w:rPr>
          <w:rFonts w:hint="eastAsia" w:ascii="宋体" w:hAnsi="宋体"/>
          <w:szCs w:val="21"/>
          <w:highlight w:val="none"/>
          <w:lang w:eastAsia="zh-CN"/>
        </w:rPr>
        <w:t>）</w:t>
      </w:r>
      <w:r>
        <w:rPr>
          <w:rFonts w:hint="eastAsia" w:ascii="宋体" w:hAnsi="宋体"/>
          <w:szCs w:val="21"/>
          <w:highlight w:val="none"/>
        </w:rPr>
        <w:t>。</w:t>
      </w:r>
    </w:p>
    <w:p w14:paraId="432D53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、重要说明</w:t>
      </w:r>
    </w:p>
    <w:p w14:paraId="1A8BAC1A">
      <w:pPr>
        <w:pStyle w:val="26"/>
        <w:keepNext w:val="0"/>
        <w:keepLines w:val="0"/>
        <w:pageBreakBefore w:val="0"/>
        <w:widowControl w:val="0"/>
        <w:kinsoku/>
        <w:wordWrap/>
        <w:overflowPunct/>
        <w:topLinePunct w:val="0"/>
        <w:autoSpaceDE/>
        <w:autoSpaceDN/>
        <w:bidi w:val="0"/>
        <w:adjustRightInd/>
        <w:snapToGrid/>
        <w:spacing w:line="440" w:lineRule="exact"/>
        <w:ind w:firstLine="430"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成交供应商</w:t>
      </w:r>
      <w:r>
        <w:rPr>
          <w:rFonts w:hint="eastAsia" w:ascii="宋体" w:hAnsi="宋体" w:eastAsia="宋体" w:cs="宋体"/>
          <w:b/>
          <w:sz w:val="21"/>
          <w:szCs w:val="21"/>
          <w:highlight w:val="none"/>
        </w:rPr>
        <w:t>必须为进场施工人员购买建筑工程团体意外险或针对该项目的个人人身意外伤害保险，如</w:t>
      </w:r>
      <w:r>
        <w:rPr>
          <w:rFonts w:hint="eastAsia" w:ascii="宋体" w:hAnsi="宋体" w:eastAsia="宋体" w:cs="宋体"/>
          <w:b/>
          <w:sz w:val="21"/>
          <w:szCs w:val="21"/>
          <w:highlight w:val="none"/>
          <w:lang w:eastAsia="zh-CN"/>
        </w:rPr>
        <w:t>采购人</w:t>
      </w:r>
      <w:r>
        <w:rPr>
          <w:rFonts w:hint="eastAsia" w:ascii="宋体" w:hAnsi="宋体" w:eastAsia="宋体" w:cs="宋体"/>
          <w:b/>
          <w:sz w:val="21"/>
          <w:szCs w:val="21"/>
          <w:highlight w:val="none"/>
        </w:rPr>
        <w:t>核查后发现其未给施工人员购买的，则有权</w:t>
      </w:r>
      <w:r>
        <w:rPr>
          <w:rFonts w:hint="eastAsia" w:ascii="宋体" w:hAnsi="宋体" w:eastAsia="宋体" w:cs="宋体"/>
          <w:b/>
          <w:sz w:val="21"/>
          <w:szCs w:val="21"/>
          <w:highlight w:val="none"/>
          <w:lang w:eastAsia="zh-CN"/>
        </w:rPr>
        <w:t>终</w:t>
      </w:r>
      <w:r>
        <w:rPr>
          <w:rFonts w:hint="eastAsia" w:ascii="宋体" w:hAnsi="宋体" w:eastAsia="宋体" w:cs="宋体"/>
          <w:b/>
          <w:sz w:val="21"/>
          <w:szCs w:val="21"/>
          <w:highlight w:val="none"/>
        </w:rPr>
        <w:t>止合同。</w:t>
      </w:r>
    </w:p>
    <w:p w14:paraId="7A6999C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、清单项目特征描述不全者依据相关规范及按现场踏勘情况。除</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定价的材料外其他所有材料均由</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自行报价。工程量清单项目特征中没有体现的，施工中又必须发生的工程内容所需的费用</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应考察现场实际情况计入</w:t>
      </w:r>
      <w:r>
        <w:rPr>
          <w:rFonts w:hint="eastAsia" w:ascii="宋体" w:hAnsi="宋体" w:eastAsia="宋体" w:cs="宋体"/>
          <w:kern w:val="0"/>
          <w:sz w:val="21"/>
          <w:szCs w:val="21"/>
          <w:highlight w:val="none"/>
          <w:lang w:eastAsia="zh-CN"/>
        </w:rPr>
        <w:t>谈判报价</w:t>
      </w:r>
      <w:r>
        <w:rPr>
          <w:rFonts w:hint="eastAsia" w:ascii="宋体" w:hAnsi="宋体" w:eastAsia="宋体" w:cs="宋体"/>
          <w:kern w:val="0"/>
          <w:sz w:val="21"/>
          <w:szCs w:val="21"/>
          <w:highlight w:val="none"/>
        </w:rPr>
        <w:t>中；</w:t>
      </w:r>
    </w:p>
    <w:p w14:paraId="3B3E0DC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应自行踏勘现场，并充分考虑本工程的复杂性、所涉及的各项措施费及风险因素后再进行投标；进场前施工单位应与</w:t>
      </w:r>
      <w:r>
        <w:rPr>
          <w:rFonts w:hint="eastAsia" w:ascii="宋体" w:hAnsi="宋体" w:eastAsia="宋体" w:cs="宋体"/>
          <w:kern w:val="0"/>
          <w:sz w:val="21"/>
          <w:szCs w:val="21"/>
          <w:highlight w:val="none"/>
          <w:lang w:eastAsia="zh-CN"/>
        </w:rPr>
        <w:t>采购人项目经理</w:t>
      </w:r>
      <w:r>
        <w:rPr>
          <w:rFonts w:hint="eastAsia" w:ascii="宋体" w:hAnsi="宋体" w:eastAsia="宋体" w:cs="宋体"/>
          <w:kern w:val="0"/>
          <w:sz w:val="21"/>
          <w:szCs w:val="21"/>
          <w:highlight w:val="none"/>
        </w:rPr>
        <w:t>对接后施工，不得盲目施工，造成不必要的损失；否则损失均由施工单位自行承担；</w:t>
      </w:r>
    </w:p>
    <w:p w14:paraId="514309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成交供应商</w:t>
      </w:r>
      <w:r>
        <w:rPr>
          <w:rFonts w:hint="eastAsia" w:ascii="宋体" w:hAnsi="宋体" w:eastAsia="宋体" w:cs="宋体"/>
          <w:kern w:val="0"/>
          <w:sz w:val="21"/>
          <w:szCs w:val="21"/>
          <w:highlight w:val="none"/>
        </w:rPr>
        <w:t>有义务配合</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做好相关单位的协调工作。</w:t>
      </w:r>
    </w:p>
    <w:p w14:paraId="2007453B">
      <w:pPr>
        <w:spacing w:line="360" w:lineRule="auto"/>
        <w:jc w:val="center"/>
        <w:rPr>
          <w:rFonts w:hint="eastAsia" w:ascii="宋体" w:hAnsi="宋体" w:eastAsia="宋体" w:cs="宋体"/>
          <w:b/>
          <w:bCs/>
          <w:sz w:val="28"/>
          <w:szCs w:val="28"/>
          <w:highlight w:val="none"/>
        </w:rPr>
        <w:sectPr>
          <w:headerReference r:id="rId6" w:type="default"/>
          <w:footerReference r:id="rId7" w:type="default"/>
          <w:pgSz w:w="11907" w:h="16839"/>
          <w:pgMar w:top="1440" w:right="1800" w:bottom="1440" w:left="1800" w:header="851" w:footer="992" w:gutter="0"/>
          <w:pgNumType w:chapStyle="1"/>
          <w:cols w:space="720" w:num="1"/>
          <w:docGrid w:type="lines" w:linePitch="312" w:charSpace="0"/>
        </w:sectPr>
      </w:pPr>
    </w:p>
    <w:p w14:paraId="41AC5919">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第四章 合同主要条款（参考）</w:t>
      </w:r>
      <w:bookmarkEnd w:id="5"/>
    </w:p>
    <w:p w14:paraId="77FC48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u w:val="single"/>
        </w:rPr>
      </w:pPr>
      <w:bookmarkStart w:id="6" w:name="_Toc9865"/>
      <w:r>
        <w:rPr>
          <w:rFonts w:hint="eastAsia" w:ascii="宋体" w:hAnsi="宋体" w:eastAsia="宋体" w:cs="宋体"/>
          <w:b/>
          <w:sz w:val="21"/>
          <w:szCs w:val="21"/>
          <w:highlight w:val="none"/>
        </w:rPr>
        <w:t>甲方：</w:t>
      </w:r>
      <w:r>
        <w:rPr>
          <w:rFonts w:hint="eastAsia" w:ascii="宋体" w:hAnsi="宋体" w:eastAsia="宋体" w:cs="宋体"/>
          <w:bCs/>
          <w:sz w:val="21"/>
          <w:szCs w:val="21"/>
          <w:highlight w:val="none"/>
        </w:rPr>
        <w:t>_______________________</w:t>
      </w:r>
    </w:p>
    <w:p w14:paraId="104640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乙方：</w:t>
      </w:r>
      <w:r>
        <w:rPr>
          <w:rFonts w:hint="eastAsia" w:ascii="宋体" w:hAnsi="宋体" w:eastAsia="宋体" w:cs="宋体"/>
          <w:bCs/>
          <w:sz w:val="21"/>
          <w:szCs w:val="21"/>
          <w:highlight w:val="none"/>
        </w:rPr>
        <w:t>_______________________</w:t>
      </w:r>
    </w:p>
    <w:p w14:paraId="6C78B2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代理机构：</w:t>
      </w:r>
      <w:r>
        <w:rPr>
          <w:rFonts w:hint="eastAsia" w:ascii="宋体" w:hAnsi="宋体" w:eastAsia="宋体" w:cs="宋体"/>
          <w:b/>
          <w:sz w:val="21"/>
          <w:szCs w:val="21"/>
          <w:highlight w:val="none"/>
          <w:u w:val="single"/>
        </w:rPr>
        <w:t>常州青枫招标有限公司</w:t>
      </w:r>
      <w:r>
        <w:rPr>
          <w:rFonts w:hint="eastAsia" w:ascii="宋体" w:hAnsi="宋体" w:eastAsia="宋体" w:cs="宋体"/>
          <w:b/>
          <w:sz w:val="21"/>
          <w:szCs w:val="21"/>
          <w:highlight w:val="none"/>
        </w:rPr>
        <w:t xml:space="preserve">             </w:t>
      </w:r>
      <w:r>
        <w:rPr>
          <w:rFonts w:hint="eastAsia" w:ascii="宋体" w:hAnsi="宋体" w:eastAsia="宋体" w:cs="宋体"/>
          <w:bCs/>
          <w:sz w:val="21"/>
          <w:szCs w:val="21"/>
          <w:highlight w:val="none"/>
        </w:rPr>
        <w:t>项目编号：________________</w:t>
      </w:r>
    </w:p>
    <w:p w14:paraId="37259E4D">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按照《中华人民共和国民法典》和《中华人民共和国建筑法》的规定，结合本工程具体情况，双方达成如下协议。</w:t>
      </w:r>
    </w:p>
    <w:p w14:paraId="18E40FC6">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第1条  工程概况</w:t>
      </w:r>
    </w:p>
    <w:p w14:paraId="336D63F3">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  工程名称：</w:t>
      </w:r>
      <w:r>
        <w:rPr>
          <w:rFonts w:hint="eastAsia" w:ascii="宋体" w:hAnsi="宋体" w:eastAsia="宋体" w:cs="宋体"/>
          <w:sz w:val="21"/>
          <w:szCs w:val="21"/>
          <w:highlight w:val="none"/>
          <w:u w:val="single"/>
        </w:rPr>
        <w:t xml:space="preserve">                                            </w:t>
      </w:r>
    </w:p>
    <w:p w14:paraId="4A75343E">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1.2  工程地点：</w:t>
      </w:r>
      <w:r>
        <w:rPr>
          <w:rFonts w:hint="eastAsia" w:ascii="宋体" w:hAnsi="宋体" w:eastAsia="宋体" w:cs="宋体"/>
          <w:sz w:val="21"/>
          <w:szCs w:val="21"/>
          <w:highlight w:val="none"/>
          <w:u w:val="single"/>
        </w:rPr>
        <w:t xml:space="preserve">                                            </w:t>
      </w:r>
    </w:p>
    <w:p w14:paraId="5F4EE5ED">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  承包范围：</w:t>
      </w:r>
      <w:r>
        <w:rPr>
          <w:rFonts w:hint="eastAsia" w:ascii="宋体" w:hAnsi="宋体" w:eastAsia="宋体" w:cs="宋体"/>
          <w:sz w:val="21"/>
          <w:szCs w:val="21"/>
          <w:highlight w:val="none"/>
          <w:u w:val="single"/>
        </w:rPr>
        <w:t xml:space="preserve">                                            </w:t>
      </w:r>
    </w:p>
    <w:p w14:paraId="6D84B362">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1.4  承包方式：</w:t>
      </w:r>
      <w:r>
        <w:rPr>
          <w:rFonts w:hint="eastAsia" w:ascii="宋体" w:hAnsi="宋体" w:eastAsia="宋体" w:cs="宋体"/>
          <w:sz w:val="21"/>
          <w:szCs w:val="21"/>
          <w:highlight w:val="none"/>
          <w:u w:val="single"/>
        </w:rPr>
        <w:t xml:space="preserve">                                            </w:t>
      </w:r>
    </w:p>
    <w:p w14:paraId="5DBC2C1D">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rPr>
        <w:t>1.5  工期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工期总日历天数与</w:t>
      </w:r>
      <w:r>
        <w:rPr>
          <w:rFonts w:hint="eastAsia" w:ascii="宋体" w:hAnsi="宋体" w:eastAsia="宋体" w:cs="宋体"/>
          <w:sz w:val="21"/>
          <w:szCs w:val="21"/>
          <w:highlight w:val="none"/>
          <w:u w:val="none"/>
          <w:lang w:val="en-US" w:eastAsia="zh-CN"/>
        </w:rPr>
        <w:t>后</w:t>
      </w:r>
      <w:r>
        <w:rPr>
          <w:rFonts w:hint="eastAsia" w:ascii="宋体" w:hAnsi="宋体" w:eastAsia="宋体" w:cs="宋体"/>
          <w:sz w:val="21"/>
          <w:szCs w:val="21"/>
          <w:highlight w:val="none"/>
          <w:u w:val="none"/>
        </w:rPr>
        <w:t>述计划开竣工日期计算的工期天数不一致的，以工期总日历天数为准。</w:t>
      </w:r>
    </w:p>
    <w:p w14:paraId="470FB875">
      <w:pPr>
        <w:pStyle w:val="12"/>
        <w:keepNext w:val="0"/>
        <w:keepLines w:val="0"/>
        <w:pageBreakBefore w:val="0"/>
        <w:widowControl w:val="0"/>
        <w:kinsoku/>
        <w:wordWrap/>
        <w:overflowPunct/>
        <w:topLinePunct w:val="0"/>
        <w:autoSpaceDE/>
        <w:autoSpaceDN/>
        <w:bidi w:val="0"/>
        <w:spacing w:after="0" w:line="400" w:lineRule="exact"/>
        <w:ind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1</w:t>
      </w:r>
      <w:r>
        <w:rPr>
          <w:rFonts w:hint="eastAsia" w:ascii="宋体" w:hAnsi="宋体" w:eastAsia="宋体" w:cs="宋体"/>
          <w:sz w:val="21"/>
          <w:szCs w:val="21"/>
          <w:highlight w:val="none"/>
          <w:u w:val="none"/>
          <w:lang w:eastAsia="zh-CN"/>
        </w:rPr>
        <w:t>）计划开工日期：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日</w:t>
      </w:r>
    </w:p>
    <w:p w14:paraId="7F314998">
      <w:pPr>
        <w:pStyle w:val="12"/>
        <w:keepNext w:val="0"/>
        <w:keepLines w:val="0"/>
        <w:pageBreakBefore w:val="0"/>
        <w:widowControl w:val="0"/>
        <w:kinsoku/>
        <w:wordWrap/>
        <w:overflowPunct/>
        <w:topLinePunct w:val="0"/>
        <w:autoSpaceDE/>
        <w:autoSpaceDN/>
        <w:bidi w:val="0"/>
        <w:spacing w:after="0"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（2）计划竣工日期：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日</w:t>
      </w:r>
    </w:p>
    <w:p w14:paraId="3E5FC80C">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1.6  工程质量：</w:t>
      </w:r>
      <w:r>
        <w:rPr>
          <w:rFonts w:hint="eastAsia" w:ascii="宋体" w:hAnsi="宋体" w:eastAsia="宋体" w:cs="宋体"/>
          <w:sz w:val="21"/>
          <w:szCs w:val="21"/>
          <w:highlight w:val="none"/>
          <w:u w:val="single"/>
          <w:lang w:val="en-US" w:eastAsia="zh-CN"/>
        </w:rPr>
        <w:t xml:space="preserve">           </w:t>
      </w:r>
    </w:p>
    <w:p w14:paraId="646E485B">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1.7  合同价款(人民币大写)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405767F3">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第2条  甲方工作</w:t>
      </w:r>
    </w:p>
    <w:p w14:paraId="737160DF">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  开工前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天,向乙方提供经确认的施工图纸或作法说明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份,并向乙方进行现场交底。甲方帮助乙方与物业协调施工所需的水、电、气及电讯等设备，并说明使用注意事项。费用由乙方承担。办理施工所涉及的各种申请、批件等手续。</w:t>
      </w:r>
    </w:p>
    <w:p w14:paraId="0C47316D">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  指派</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为甲方驻工地代表，联系方式：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，负责合同履行。对工程质量、进度进行监督检查，办理验收、变更、登记手续和其他事宜。</w:t>
      </w:r>
    </w:p>
    <w:p w14:paraId="3146690C">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  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监理单位对项目进行此案场管理，委托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审计部门对项目进行全过程审计。</w:t>
      </w:r>
    </w:p>
    <w:p w14:paraId="1D7F3BBF">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第3条  乙方工作</w:t>
      </w:r>
    </w:p>
    <w:p w14:paraId="4395832E">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  参加甲方组织的施工图纸或作法说明的现场交底，拟定施工方案和进度计划，交甲方审定。</w:t>
      </w:r>
    </w:p>
    <w:p w14:paraId="487A651D">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  指派</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为乙方驻工地代表，联系方式：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，负责合同履行。按要求组织施工，保质、保量、按期完成施工任务，解决由乙方负责的各项事宜。</w:t>
      </w:r>
    </w:p>
    <w:p w14:paraId="0F052CF3">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  严格执行施工规范、安全操作规程、防火安全规定。严格按照图纸或作法说明进行施工，做好各项质量检查记录。参加竣工验收，编制工程结算，绘制竣工图。</w:t>
      </w:r>
    </w:p>
    <w:p w14:paraId="1E8EFB0D">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  遵守国家或地方政府及有关部门对施工现场管理的规定，妥善保护好施工现场周围建筑物、设备管线不受损坏。做好施工现场保卫和垃圾消纳等工作，处理好由于施工带来的扰民问题及与周围单位（居民）的关系。</w:t>
      </w:r>
    </w:p>
    <w:p w14:paraId="3EF04F21">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  施工过程中引起的绿化损失应及时修复并承担其费用，费用已含在报价中。</w:t>
      </w:r>
    </w:p>
    <w:p w14:paraId="74D84806">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  负责做好现场保卫、消防、垃圾处理等工作，并承担相应费用，费用已含在报价中。</w:t>
      </w:r>
    </w:p>
    <w:p w14:paraId="7544C71A">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  施工中未经甲方同意或有关部门批准，不得随便拆改原建筑物结构及各种设备管线。</w:t>
      </w:r>
    </w:p>
    <w:p w14:paraId="183F2556">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3.8  工程竣工未移交甲方之前，负责对现场的一切设施和工程成品进行保护。</w:t>
      </w:r>
    </w:p>
    <w:p w14:paraId="0DD31B6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  甲方有权对现场不称职或不合格的技术负责人、其他人员提出更换，乙方应无条件接受。</w:t>
      </w:r>
    </w:p>
    <w:p w14:paraId="7797743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3.10工地内不安排民工宿舍及办公室。异地搭设临建需租地，其租地费用、交通费用等一切费用及所需承担的责任由乙方负责。现场的材料及设备、工具由乙方保管。</w:t>
      </w:r>
    </w:p>
    <w:p w14:paraId="6982674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3.11乙方应及时办理隐蔽工程和中间工程的检查与验收手续。任一项隐蔽工程的验收未通过甲方的验收，甲方可对乙方处以1000元/次的罚款；乙方修复直至通过验收，罚款不返还。若乙方拒缴罚款，甲方有权不支付工程款并要求乙方暂停下</w:t>
      </w:r>
      <w:r>
        <w:rPr>
          <w:rFonts w:hint="eastAsia" w:ascii="宋体" w:hAnsi="宋体" w:eastAsia="宋体" w:cs="宋体"/>
          <w:sz w:val="21"/>
          <w:szCs w:val="21"/>
          <w:highlight w:val="none"/>
          <w:lang w:eastAsia="zh-CN"/>
        </w:rPr>
        <w:t>步</w:t>
      </w:r>
      <w:r>
        <w:rPr>
          <w:rFonts w:hint="eastAsia" w:ascii="宋体" w:hAnsi="宋体" w:eastAsia="宋体" w:cs="宋体"/>
          <w:sz w:val="21"/>
          <w:szCs w:val="21"/>
          <w:highlight w:val="none"/>
        </w:rPr>
        <w:t>节点的施工。</w:t>
      </w:r>
    </w:p>
    <w:p w14:paraId="4B656AB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3.12乙方在施工过程中，甲方有权要求对乙方的施工进行适当调整安排，对甲方提出的安排，乙方应积极服从。如乙方拒绝服从甲方的调整安排，甲方有权对乙方进行相应的经济处罚。</w:t>
      </w:r>
    </w:p>
    <w:p w14:paraId="75427BD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3.13工程竣工后，乙方应通知甲方验收，甲方自接到验收通知10日内组织验收，并办理验收、移交手续。如甲方在规定时间内未能组织验收，需及时通知乙方，另定验收日期，但甲方应承认竣工日期，但不承担乙方在此期间的看管等相关费用。</w:t>
      </w:r>
    </w:p>
    <w:p w14:paraId="5110534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3.14乙方负责完工工程移交甲方之前的维护及保管工作。</w:t>
      </w:r>
    </w:p>
    <w:p w14:paraId="11E7D21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3.15材料堆放及现场施工应服从甲方管理，做到材料堆放整齐、规范，施工现场保证工完场地</w:t>
      </w:r>
      <w:r>
        <w:rPr>
          <w:rFonts w:hint="eastAsia" w:ascii="宋体" w:hAnsi="宋体" w:eastAsia="宋体" w:cs="宋体"/>
          <w:sz w:val="21"/>
          <w:szCs w:val="21"/>
          <w:highlight w:val="none"/>
          <w:lang w:val="en-US" w:eastAsia="zh-CN"/>
        </w:rPr>
        <w:t>清</w:t>
      </w:r>
      <w:r>
        <w:rPr>
          <w:rFonts w:hint="eastAsia" w:ascii="宋体" w:hAnsi="宋体" w:eastAsia="宋体" w:cs="宋体"/>
          <w:sz w:val="21"/>
          <w:szCs w:val="21"/>
          <w:highlight w:val="none"/>
        </w:rPr>
        <w:t>；保持施工现场整洁、通畅。施工现场严禁打架、斗殴，工作前严禁喝酒，一经发现，甲方有权处以500</w:t>
      </w:r>
      <w:r>
        <w:rPr>
          <w:rFonts w:hint="eastAsia" w:ascii="宋体" w:hAnsi="宋体" w:eastAsia="宋体" w:cs="宋体"/>
          <w:sz w:val="21"/>
          <w:szCs w:val="21"/>
          <w:highlight w:val="none"/>
          <w:lang w:eastAsia="zh-CN"/>
        </w:rPr>
        <w:t>元</w:t>
      </w:r>
      <w:r>
        <w:rPr>
          <w:rFonts w:hint="eastAsia" w:ascii="宋体" w:hAnsi="宋体" w:eastAsia="宋体" w:cs="宋体"/>
          <w:sz w:val="21"/>
          <w:szCs w:val="21"/>
          <w:highlight w:val="none"/>
        </w:rPr>
        <w:t>/次罚款，罚款直接在工程款中扣除。</w:t>
      </w:r>
    </w:p>
    <w:p w14:paraId="28630FC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3.16做好现场垃圾处理与清运等工作，并承担费用。</w:t>
      </w:r>
    </w:p>
    <w:p w14:paraId="647CC64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3.17在施工区域设置必要的危险警示牌、灯等，采取警示措施，避免发生伤亡事故，工程施工期间所发生伤亡等一切事故，均由乙方承担，所发生的一切费用均由乙方全部支付。</w:t>
      </w:r>
    </w:p>
    <w:p w14:paraId="7AA9B42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3.18乙方应随时接受甲方对工程的监督和检查，对不符合规范的施工项目无条件组织返工或整改，所产生的返工或整改的一切费用（含设备、材料、人工、搬运及保管费等），由乙方自行承担。</w:t>
      </w:r>
    </w:p>
    <w:p w14:paraId="7091F00C">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第4条  关于工期的约定</w:t>
      </w:r>
    </w:p>
    <w:p w14:paraId="3708DC1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由于非乙方原因导致的工期延误，工期顺延，由于乙方原因导致的工期延误，详见9.1条。</w:t>
      </w:r>
    </w:p>
    <w:p w14:paraId="4FD5ECD2">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第5条  关于工程质量及验收的约定</w:t>
      </w:r>
    </w:p>
    <w:p w14:paraId="40F17486">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  本工程以施工图纸、作法说明、设计变更和国家制订的现行施工及验收规范为质量评定验收标准。</w:t>
      </w:r>
    </w:p>
    <w:p w14:paraId="2D728E5C">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  本工程质量应达到国家质量评定</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一次性验收合格</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标准。</w:t>
      </w:r>
    </w:p>
    <w:p w14:paraId="0539B33A">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  乙方负责采购的材料，应严格按采购文件要求采购,并提供产品合格证明,对材料质量负责。乙方采购的材料在使用前,应按照甲方或监理的要求进行检验或试验,不合格的不得使用,检验或试验费用由乙方承担。</w:t>
      </w:r>
    </w:p>
    <w:p w14:paraId="632EBB75">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5.4  由于乙方原因造成质量事故，其损失及费用由乙方承担，工期不顺延。</w:t>
      </w:r>
    </w:p>
    <w:p w14:paraId="70F1D645">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5.5  工程竣工后，乙方应通知甲方验收，甲方自接到验收通知</w:t>
      </w:r>
      <w:r>
        <w:rPr>
          <w:rFonts w:hint="eastAsia" w:ascii="宋体" w:hAnsi="宋体" w:eastAsia="宋体" w:cs="宋体"/>
          <w:sz w:val="21"/>
          <w:szCs w:val="21"/>
          <w:highlight w:val="none"/>
          <w:u w:val="single"/>
        </w:rPr>
        <w:t xml:space="preserve"> 10 </w:t>
      </w:r>
      <w:r>
        <w:rPr>
          <w:rFonts w:hint="eastAsia" w:ascii="宋体" w:hAnsi="宋体" w:eastAsia="宋体" w:cs="宋体"/>
          <w:sz w:val="21"/>
          <w:szCs w:val="21"/>
          <w:highlight w:val="none"/>
        </w:rPr>
        <w:t>日内组织验收，并办理验收、移交手续。如甲方在规定时间内未能组织验收，需及时通知乙方，另定验收日期，但甲方应承认竣工日期。</w:t>
      </w:r>
    </w:p>
    <w:p w14:paraId="416428ED">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第6条  关于工程价款及结算的约定</w:t>
      </w:r>
    </w:p>
    <w:p w14:paraId="33DB2B93">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6.1  双方商定本合同价款采用 </w:t>
      </w:r>
      <w:r>
        <w:rPr>
          <w:rFonts w:hint="eastAsia" w:ascii="宋体" w:hAnsi="宋体" w:eastAsia="宋体" w:cs="宋体"/>
          <w:sz w:val="21"/>
          <w:szCs w:val="21"/>
          <w:highlight w:val="none"/>
          <w:u w:val="single"/>
        </w:rPr>
        <w:t>单价合同</w:t>
      </w:r>
      <w:r>
        <w:rPr>
          <w:rFonts w:hint="eastAsia" w:ascii="宋体" w:hAnsi="宋体" w:eastAsia="宋体" w:cs="宋体"/>
          <w:sz w:val="21"/>
          <w:szCs w:val="21"/>
          <w:highlight w:val="none"/>
        </w:rPr>
        <w:t>：</w:t>
      </w:r>
    </w:p>
    <w:p w14:paraId="598070CF">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本合同采用固定综合单价，合同价款中包括的风险范围：</w:t>
      </w:r>
    </w:p>
    <w:p w14:paraId="0D58FAF1">
      <w:pPr>
        <w:pStyle w:val="12"/>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（1）市场风险（包括采用新的验收标准，施工期间材料价格在一定范围内的波动等）</w:t>
      </w:r>
    </w:p>
    <w:p w14:paraId="1AF9E5F1">
      <w:pPr>
        <w:pStyle w:val="12"/>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（2）综合单价（不随工程量的增减而调整，另有约定的除外）；</w:t>
      </w:r>
    </w:p>
    <w:p w14:paraId="15CE9172">
      <w:pPr>
        <w:pStyle w:val="12"/>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（3）措施项目费用；</w:t>
      </w:r>
    </w:p>
    <w:p w14:paraId="295E0834">
      <w:pPr>
        <w:pStyle w:val="12"/>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（4）乙方的</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w:t>
      </w:r>
    </w:p>
    <w:p w14:paraId="3A4F2539">
      <w:pPr>
        <w:pStyle w:val="12"/>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（5）经踏勘后的现场条件；</w:t>
      </w:r>
    </w:p>
    <w:p w14:paraId="6F4F72B1">
      <w:pPr>
        <w:pStyle w:val="12"/>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（6）乙方已充分踏勘现场，合同价中已考虑甲方不能提供临时设施搭设场地所需自行解决的因素，结算时不因此而调整合同价格。</w:t>
      </w:r>
    </w:p>
    <w:p w14:paraId="54A3C87C">
      <w:pPr>
        <w:pStyle w:val="12"/>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（7）乙方已考虑到本工程施工期间不能影响甲方的正常办公等因素，并对因此而增加的围栏、防护、人工降效及其他可能产生的费用已考虑且已含在合同价中，结算时不因此而调整合同价格。</w:t>
      </w:r>
    </w:p>
    <w:p w14:paraId="35D7F08D">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6.2风险费用的计算方法：</w:t>
      </w:r>
    </w:p>
    <w:p w14:paraId="2231DC67">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综合考虑在投标综合单价内，在合同约定风险范围内不作调整。</w:t>
      </w:r>
    </w:p>
    <w:p w14:paraId="13084DAA">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乙方承诺工程结算核减率若超过10%或有核增额，超出该约定范围的审计费用由乙方承担。 </w:t>
      </w:r>
    </w:p>
    <w:p w14:paraId="6F4B4521">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风险范围以外合同价款调整方法： </w:t>
      </w:r>
    </w:p>
    <w:p w14:paraId="4387F497">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（一）本工程工程量按实结算。</w:t>
      </w:r>
    </w:p>
    <w:p w14:paraId="3E2E704C">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（二）分部分项工程费应根据承、发包双方确认的工程量、乙方的投标综合单价计算。</w:t>
      </w:r>
    </w:p>
    <w:p w14:paraId="20C57824">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合同执行期间，如遇文件规定的人工费和机械费调整，则按文件规定执行。</w:t>
      </w:r>
    </w:p>
    <w:p w14:paraId="52C5F66F">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(三) 如施工中出现工程量清单漏项、非乙方原因的工程变更（含材料）、额外增加工作量以及工程签证等造成新增的工程量清单项目，其对应的综合单价结算原则为：投标报价中有适用的综合单价的，按投标综合单价结算；投标报价中只有类似于变更工程的价格，可参照类似价格结算；投标报价中无适用的综合单价的，由乙方依据《建设工程工程量清单计价规范》（GB50500-2013）、</w:t>
      </w:r>
      <w:r>
        <w:rPr>
          <w:rFonts w:hint="eastAsia" w:ascii="宋体" w:hAnsi="宋体" w:eastAsia="宋体" w:cs="宋体"/>
          <w:sz w:val="21"/>
          <w:szCs w:val="21"/>
          <w:highlight w:val="none"/>
          <w:lang w:val="en-US" w:eastAsia="zh-CN"/>
        </w:rPr>
        <w:t>2014</w:t>
      </w:r>
      <w:r>
        <w:rPr>
          <w:rFonts w:hint="eastAsia" w:ascii="宋体" w:hAnsi="宋体" w:eastAsia="宋体" w:cs="宋体"/>
          <w:sz w:val="21"/>
          <w:szCs w:val="21"/>
          <w:highlight w:val="none"/>
        </w:rPr>
        <w:t>版</w:t>
      </w:r>
      <w:r>
        <w:rPr>
          <w:rFonts w:hint="eastAsia" w:ascii="宋体" w:hAnsi="宋体" w:eastAsia="宋体" w:cs="宋体"/>
          <w:sz w:val="21"/>
          <w:szCs w:val="21"/>
          <w:highlight w:val="none"/>
          <w:lang w:eastAsia="zh-CN"/>
        </w:rPr>
        <w:t>《江苏省市政工程计价定额》</w:t>
      </w:r>
      <w:r>
        <w:rPr>
          <w:rFonts w:hint="eastAsia" w:ascii="宋体" w:hAnsi="宋体" w:eastAsia="宋体" w:cs="宋体"/>
          <w:sz w:val="21"/>
          <w:szCs w:val="21"/>
          <w:highlight w:val="none"/>
        </w:rPr>
        <w:t>施工方投标书所报的人工、材、机械价格、取费费率并参考投标条件编制综合单价及分析，经监理、甲方及审计部门审定后作为结算依据。</w:t>
      </w:r>
    </w:p>
    <w:p w14:paraId="3261EA3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（四）所有暂估价材料结算时只调整实际材料价格与暂定材料价格的差额、差额部分的总承包服务费以及差额部分实际发生的规费，其它不予调整。</w:t>
      </w:r>
    </w:p>
    <w:p w14:paraId="70DED0C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6.3因非乙方原因引起的工程量增减，该项工程量变化在合同约定幅度以内的，应执行原有的综合单价；该项工程量变化在合同约定幅度以外的，其综合单价应按如下原则予以调整：</w:t>
      </w:r>
    </w:p>
    <w:p w14:paraId="75CD65B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（一）当工程量清单项目工程量的变化幅度在15%以内时，其综合单价不作调整，执行原有综合单价。</w:t>
      </w:r>
    </w:p>
    <w:p w14:paraId="5B4A349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当工程量清单项目工程量的变化幅度在15%以外，且其影响分部分项工程费超过0.1%时，其综合单价以及对应的措施费（如有）均应作调整。调整的方法是由乙方对增加的工程量或减少后剩余的工程量按投标条件提出新的综合单价和措施项目费，经甲方确认后调整。</w:t>
      </w:r>
    </w:p>
    <w:p w14:paraId="43C413D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（三）合同中没有适用或类似的综合单价，由乙方依据《江苏省建设工程工程清单计价项目指引》、《建设工程工程量清单计价规范》（GB50500-2013）、</w:t>
      </w:r>
      <w:r>
        <w:rPr>
          <w:rFonts w:hint="eastAsia" w:ascii="宋体" w:hAnsi="宋体" w:eastAsia="宋体" w:cs="宋体"/>
          <w:sz w:val="21"/>
          <w:szCs w:val="21"/>
          <w:highlight w:val="none"/>
          <w:lang w:val="en-US" w:eastAsia="zh-CN"/>
        </w:rPr>
        <w:t>2014</w:t>
      </w:r>
      <w:r>
        <w:rPr>
          <w:rFonts w:hint="eastAsia" w:ascii="宋体" w:hAnsi="宋体" w:eastAsia="宋体" w:cs="宋体"/>
          <w:sz w:val="21"/>
          <w:szCs w:val="21"/>
          <w:highlight w:val="none"/>
        </w:rPr>
        <w:t>版</w:t>
      </w:r>
      <w:r>
        <w:rPr>
          <w:rFonts w:hint="eastAsia" w:ascii="宋体" w:hAnsi="宋体" w:eastAsia="宋体" w:cs="宋体"/>
          <w:sz w:val="21"/>
          <w:szCs w:val="21"/>
          <w:highlight w:val="none"/>
          <w:lang w:eastAsia="zh-CN"/>
        </w:rPr>
        <w:t>《江苏省市政工程计价定额》</w:t>
      </w:r>
      <w:r>
        <w:rPr>
          <w:rFonts w:hint="eastAsia" w:ascii="宋体" w:hAnsi="宋体" w:eastAsia="宋体" w:cs="宋体"/>
          <w:sz w:val="21"/>
          <w:szCs w:val="21"/>
          <w:highlight w:val="none"/>
        </w:rPr>
        <w:t>、2006版《常州市建设工程补充计价表》、江苏省2014机械台班定额、2014版《江苏省建筑与装饰、安装、市政工程补充定额》、2014版《江苏省建设工程费用定额》、</w:t>
      </w:r>
      <w:r>
        <w:rPr>
          <w:rFonts w:hint="eastAsia" w:ascii="宋体" w:hAnsi="宋体" w:eastAsia="宋体" w:cs="宋体"/>
          <w:kern w:val="0"/>
          <w:sz w:val="21"/>
          <w:szCs w:val="21"/>
          <w:highlight w:val="none"/>
          <w:lang w:eastAsia="zh-CN"/>
        </w:rPr>
        <w:t>201</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eastAsia="zh-CN"/>
        </w:rPr>
        <w:t>版《江苏省绿色建筑工程计价定额》</w:t>
      </w:r>
      <w:r>
        <w:rPr>
          <w:rFonts w:hint="eastAsia" w:ascii="宋体" w:hAnsi="宋体" w:eastAsia="宋体" w:cs="宋体"/>
          <w:sz w:val="21"/>
          <w:szCs w:val="21"/>
          <w:highlight w:val="none"/>
        </w:rPr>
        <w:t>施工方投标书所报的人工、材、机械价格、取费费率并参考投标条件编制综合单价及分析，经监理、甲方及审计部门审定后作为结算依据。</w:t>
      </w:r>
    </w:p>
    <w:p w14:paraId="11CA3463">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6.4 付款方式</w:t>
      </w:r>
    </w:p>
    <w:p w14:paraId="3BBEB2A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6.4.1合同签订后支付合同总价20%的预付款。</w:t>
      </w:r>
    </w:p>
    <w:p w14:paraId="7ED526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6.4.2工程全部竣工验收合格后，工程款付至合同总价的80%。</w:t>
      </w:r>
    </w:p>
    <w:p w14:paraId="42D7B5BB">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sz w:val="21"/>
          <w:szCs w:val="21"/>
          <w:highlight w:val="none"/>
          <w:lang w:val="en-US" w:eastAsia="zh-CN"/>
        </w:rPr>
        <w:t>6.4.3工程决算完成，按要求开具发票，经甲方、审计审定后付至审定价的100%。</w:t>
      </w:r>
    </w:p>
    <w:p w14:paraId="5126A11F">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6.5 工程竣工验收后，乙方提出工程结算并将有关资料送交甲方。</w:t>
      </w:r>
    </w:p>
    <w:p w14:paraId="529A41C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6.6每次付款前，乙方必须提交符合国家财税规定的正规发票，甲方见票付款。</w:t>
      </w:r>
    </w:p>
    <w:p w14:paraId="1191860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6.7工程施工过程中所有需要在合同价外另行增加费用的内容均须事先征得甲方的书面同意并提供预算书待甲方、监理、审计部门确认后方可实施，否则不予结算。</w:t>
      </w:r>
    </w:p>
    <w:p w14:paraId="402104D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6.8所有涉及工程结算的签证单上必须有甲方代表、审计部门、乙方（项目组）三方的签字和盖章，方可作为竣工结算的依据，签证单上必须明确签证的原因、位置、尺寸、数量、材料、人工、机械台班、价格和签证时间等，如有必要，还需附有综合单价分析。</w:t>
      </w:r>
    </w:p>
    <w:p w14:paraId="3F6A536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6.9结算要求：乙方在施工过程中，对需要办理现场签证的工作量，应及时通知甲方、审计办理工程量签证。签证应工程施工完成后7日内将签证签认完毕，逾期上报或未上报甲方的，视为乙方放弃该项签证权益，结算时不再计入。</w:t>
      </w:r>
    </w:p>
    <w:p w14:paraId="119D75C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6.10由于乙方原因造成的投标报价的漏报、错报，均视作对甲方做出的优惠让利，结算时不作调整。</w:t>
      </w:r>
    </w:p>
    <w:p w14:paraId="03824FBC">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第7条  关于材料供应的约定</w:t>
      </w:r>
    </w:p>
    <w:p w14:paraId="647C5C9F">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 凡由乙方采购的材料、设备，如不符合质量要求或规格差异，应禁止使用。若已使用，对工程造成的损失由乙方负责。</w:t>
      </w:r>
    </w:p>
    <w:p w14:paraId="01C4E3C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材料、设备进场前应接受甲方组织的验收，不合格材料及与封样不符的材料标识后，三天内运出场外。场内严禁堆放不合格材料和不符材料，过期不处理的不合格材料和不符材料，甲方有权自行处理，由此造成乙方异议或损失的，甲方不予赔偿。</w:t>
      </w:r>
    </w:p>
    <w:p w14:paraId="53D99AA0">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第8条  有关安全生产和防火的约定</w:t>
      </w:r>
    </w:p>
    <w:p w14:paraId="60C05987">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8.1  甲方提供的施工图纸或作法说明，应符合《中华人民共和国</w:t>
      </w:r>
      <w:r>
        <w:rPr>
          <w:rFonts w:hint="eastAsia" w:ascii="宋体" w:hAnsi="宋体" w:eastAsia="宋体" w:cs="宋体"/>
          <w:sz w:val="21"/>
          <w:szCs w:val="21"/>
          <w:highlight w:val="none"/>
          <w:lang w:eastAsia="zh-CN"/>
        </w:rPr>
        <w:t>消防法</w:t>
      </w:r>
      <w:r>
        <w:rPr>
          <w:rFonts w:hint="eastAsia" w:ascii="宋体" w:hAnsi="宋体" w:eastAsia="宋体" w:cs="宋体"/>
          <w:sz w:val="21"/>
          <w:szCs w:val="21"/>
          <w:highlight w:val="none"/>
        </w:rPr>
        <w:t>》和有关防火设计规范。</w:t>
      </w:r>
    </w:p>
    <w:p w14:paraId="0072715B">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8.2  乙方在施工期间应严格遵守《建设工程安全生产管理条例》、《建筑施工安全检查标准》、《中华人民共和国消防</w:t>
      </w:r>
      <w:r>
        <w:rPr>
          <w:rFonts w:hint="eastAsia" w:ascii="宋体" w:hAnsi="宋体" w:eastAsia="宋体" w:cs="宋体"/>
          <w:sz w:val="21"/>
          <w:szCs w:val="21"/>
          <w:highlight w:val="none"/>
          <w:lang w:eastAsia="zh-CN"/>
        </w:rPr>
        <w:t>法</w:t>
      </w:r>
      <w:r>
        <w:rPr>
          <w:rFonts w:hint="eastAsia" w:ascii="宋体" w:hAnsi="宋体" w:eastAsia="宋体" w:cs="宋体"/>
          <w:sz w:val="21"/>
          <w:szCs w:val="21"/>
          <w:highlight w:val="none"/>
        </w:rPr>
        <w:t>》和其他相关的法规、规范。</w:t>
      </w:r>
    </w:p>
    <w:p w14:paraId="71F62167">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8.3  由于甲方确认的图纸或作法说明，违反有关安全操作规程、消防</w:t>
      </w:r>
      <w:r>
        <w:rPr>
          <w:rFonts w:hint="eastAsia" w:ascii="宋体" w:hAnsi="宋体" w:eastAsia="宋体" w:cs="宋体"/>
          <w:sz w:val="21"/>
          <w:szCs w:val="21"/>
          <w:highlight w:val="none"/>
          <w:lang w:val="en-US" w:eastAsia="zh-CN"/>
        </w:rPr>
        <w:t>法</w:t>
      </w:r>
      <w:r>
        <w:rPr>
          <w:rFonts w:hint="eastAsia" w:ascii="宋体" w:hAnsi="宋体" w:eastAsia="宋体" w:cs="宋体"/>
          <w:sz w:val="21"/>
          <w:szCs w:val="21"/>
          <w:highlight w:val="none"/>
        </w:rPr>
        <w:t>和防火设计规范，导致发生安全或火灾事故，甲方应承担由此产生的一切经济损失。</w:t>
      </w:r>
    </w:p>
    <w:p w14:paraId="4BAA88A2">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8.4  由于乙方在施工生产过程中违反有关安全操作规程、消防</w:t>
      </w:r>
      <w:r>
        <w:rPr>
          <w:rFonts w:hint="eastAsia" w:ascii="宋体" w:hAnsi="宋体" w:eastAsia="宋体" w:cs="宋体"/>
          <w:sz w:val="21"/>
          <w:szCs w:val="21"/>
          <w:highlight w:val="none"/>
          <w:lang w:eastAsia="zh-CN"/>
        </w:rPr>
        <w:t>法</w:t>
      </w:r>
      <w:r>
        <w:rPr>
          <w:rFonts w:hint="eastAsia" w:ascii="宋体" w:hAnsi="宋体" w:eastAsia="宋体" w:cs="宋体"/>
          <w:sz w:val="21"/>
          <w:szCs w:val="21"/>
          <w:highlight w:val="none"/>
        </w:rPr>
        <w:t>，导致发生安全或火灾事故，乙方应承担由此引发的一切经济损失。</w:t>
      </w:r>
    </w:p>
    <w:p w14:paraId="04961A56">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第9条  奖励和违约责任</w:t>
      </w:r>
    </w:p>
    <w:p w14:paraId="2BAEB959">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 由于乙方原因，逾期竣工，每逾期一天，甲方对乙方处以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元/天罚款。甲方要求提前竣工，每提前一天，无奖励。</w:t>
      </w:r>
    </w:p>
    <w:p w14:paraId="5CF01671">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乙方应妥善保护甲方提供的设备及现场堆放的家具、陈设和工程成品，如造成损失，应按价赔偿。</w:t>
      </w:r>
    </w:p>
    <w:p w14:paraId="14F6EB15">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未经甲方同意，乙方擅自拆改原建筑物结构或设备管线，由此发生的损失或事故（包括罚款），由乙方负责并承担损失。</w:t>
      </w:r>
    </w:p>
    <w:p w14:paraId="1B824468">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因一方原因，合同无法继续履行时，应通知对方，办理合同终止协议，并由责任方赔偿对方由此造成的经济损失。</w:t>
      </w:r>
    </w:p>
    <w:p w14:paraId="36719AC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5</w:t>
      </w:r>
      <w:r>
        <w:rPr>
          <w:rFonts w:hint="eastAsia" w:ascii="宋体" w:hAnsi="宋体" w:eastAsia="宋体" w:cs="宋体"/>
          <w:kern w:val="0"/>
          <w:sz w:val="21"/>
          <w:szCs w:val="21"/>
          <w:highlight w:val="none"/>
        </w:rPr>
        <w:t>甲方要求乙方的竣工工程质量必须符合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一次性验收合格</w:t>
      </w:r>
      <w:r>
        <w:rPr>
          <w:rFonts w:hint="eastAsia" w:ascii="宋体" w:hAnsi="宋体" w:eastAsia="宋体" w:cs="宋体"/>
          <w:sz w:val="21"/>
          <w:szCs w:val="21"/>
          <w:highlight w:val="none"/>
          <w:u w:val="single"/>
        </w:rPr>
        <w:t xml:space="preserve">  </w:t>
      </w:r>
      <w:r>
        <w:rPr>
          <w:rFonts w:hint="eastAsia" w:ascii="宋体" w:hAnsi="宋体" w:eastAsia="宋体" w:cs="宋体"/>
          <w:kern w:val="0"/>
          <w:sz w:val="21"/>
          <w:szCs w:val="21"/>
          <w:highlight w:val="none"/>
        </w:rPr>
        <w:t>。如果乙方因自身原因未能达到该质量等级，甲方将按合同价的</w:t>
      </w:r>
      <w:r>
        <w:rPr>
          <w:rFonts w:hint="eastAsia" w:ascii="宋体" w:hAnsi="宋体" w:eastAsia="宋体" w:cs="宋体"/>
          <w:kern w:val="0"/>
          <w:sz w:val="21"/>
          <w:szCs w:val="21"/>
          <w:highlight w:val="none"/>
          <w:u w:val="single"/>
        </w:rPr>
        <w:t>1%</w:t>
      </w:r>
      <w:r>
        <w:rPr>
          <w:rFonts w:hint="eastAsia" w:ascii="宋体" w:hAnsi="宋体" w:eastAsia="宋体" w:cs="宋体"/>
          <w:kern w:val="0"/>
          <w:sz w:val="21"/>
          <w:szCs w:val="21"/>
          <w:highlight w:val="none"/>
        </w:rPr>
        <w:t>对乙方进行处罚。同时，乙方必须负责整改到位，直至符合要求为止，并承担相由此产生的所有费用，同时，赔偿甲方因此造成的损失，赔偿金额双方协商。若乙方无力整改到位，甲方有权指定其他单位负责整改，由此产生的费用由乙方承担。</w:t>
      </w:r>
    </w:p>
    <w:p w14:paraId="46B54B0E">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第10条  争议的解决方式</w:t>
      </w:r>
    </w:p>
    <w:p w14:paraId="6604043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10.1 因履行本合同引起的或与本合同有关的争议，甲、乙双方应首先通过友好协商解决，如果协商不能解决争议，则采取以下第</w:t>
      </w:r>
      <w:r>
        <w:rPr>
          <w:rFonts w:hint="eastAsia" w:ascii="宋体" w:hAnsi="宋体" w:eastAsia="宋体" w:cs="宋体"/>
          <w:sz w:val="21"/>
          <w:szCs w:val="21"/>
          <w:highlight w:val="none"/>
          <w:u w:val="single"/>
        </w:rPr>
        <w:t>（1）</w:t>
      </w:r>
      <w:r>
        <w:rPr>
          <w:rFonts w:hint="eastAsia" w:ascii="宋体" w:hAnsi="宋体" w:eastAsia="宋体" w:cs="宋体"/>
          <w:sz w:val="21"/>
          <w:szCs w:val="21"/>
          <w:highlight w:val="none"/>
        </w:rPr>
        <w:t>种方式解决争议：</w:t>
      </w:r>
    </w:p>
    <w:p w14:paraId="0D10770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（1）向工程所在地人民法院提起诉讼；</w:t>
      </w:r>
    </w:p>
    <w:p w14:paraId="42A9944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（2）向工程所在地仲裁委员会按其仲裁规则申请仲裁。</w:t>
      </w:r>
    </w:p>
    <w:p w14:paraId="2C31C0CB">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10.2 在法院审理和仲裁期间，除有争议部分外，本合同其他部分应继续履行</w:t>
      </w:r>
      <w:r>
        <w:rPr>
          <w:rFonts w:hint="eastAsia" w:ascii="宋体" w:hAnsi="宋体" w:eastAsia="宋体" w:cs="宋体"/>
          <w:sz w:val="21"/>
          <w:szCs w:val="21"/>
          <w:highlight w:val="none"/>
          <w:lang w:eastAsia="zh-CN"/>
        </w:rPr>
        <w:t>。</w:t>
      </w:r>
    </w:p>
    <w:p w14:paraId="38BC4E8C">
      <w:pPr>
        <w:pStyle w:val="12"/>
        <w:keepNext w:val="0"/>
        <w:keepLines w:val="0"/>
        <w:pageBreakBefore w:val="0"/>
        <w:widowControl w:val="0"/>
        <w:kinsoku/>
        <w:wordWrap/>
        <w:overflowPunct/>
        <w:topLinePunct w:val="0"/>
        <w:autoSpaceDE/>
        <w:autoSpaceDN/>
        <w:bidi w:val="0"/>
        <w:snapToGrid/>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10.3 本合同载明的地址作为各方的通知、文件资料、法律文书、司法文书的送达地址，若一方变更地址的应及时书面通知其他各方。</w:t>
      </w:r>
    </w:p>
    <w:p w14:paraId="1445A4CA">
      <w:pPr>
        <w:pStyle w:val="12"/>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第11条  其它约定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 xml:space="preserve"> ①工程结算审计工作由审计部门进行全过程审计；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乙方负责。④其他未尽事宜详见</w:t>
      </w:r>
      <w:r>
        <w:rPr>
          <w:rFonts w:hint="eastAsia" w:ascii="宋体" w:hAnsi="宋体" w:eastAsia="宋体" w:cs="宋体"/>
          <w:sz w:val="21"/>
          <w:szCs w:val="21"/>
          <w:highlight w:val="none"/>
          <w:u w:val="single"/>
          <w:lang w:val="en-US" w:eastAsia="zh-CN"/>
        </w:rPr>
        <w:t>谈判</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eastAsia="zh-CN"/>
        </w:rPr>
        <w:t>响应文件</w:t>
      </w:r>
      <w:r>
        <w:rPr>
          <w:rFonts w:hint="eastAsia" w:ascii="宋体" w:hAnsi="宋体" w:eastAsia="宋体" w:cs="宋体"/>
          <w:sz w:val="21"/>
          <w:szCs w:val="21"/>
          <w:highlight w:val="none"/>
          <w:u w:val="single"/>
        </w:rPr>
        <w:t>。</w:t>
      </w:r>
    </w:p>
    <w:p w14:paraId="2A4B7AF3">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第12条  附则</w:t>
      </w:r>
    </w:p>
    <w:p w14:paraId="22319E8F">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12.1  本</w:t>
      </w:r>
      <w:r>
        <w:rPr>
          <w:rFonts w:hint="eastAsia" w:ascii="宋体" w:hAnsi="宋体" w:eastAsia="宋体" w:cs="宋体"/>
          <w:sz w:val="21"/>
          <w:szCs w:val="21"/>
          <w:highlight w:val="none"/>
          <w:lang w:val="en-US" w:eastAsia="zh-CN"/>
        </w:rPr>
        <w:t>工程</w:t>
      </w:r>
      <w:r>
        <w:rPr>
          <w:rFonts w:hint="eastAsia" w:ascii="宋体" w:hAnsi="宋体" w:eastAsia="宋体" w:cs="宋体"/>
          <w:sz w:val="21"/>
          <w:szCs w:val="21"/>
          <w:highlight w:val="none"/>
        </w:rPr>
        <w:t>保修期</w:t>
      </w:r>
      <w:r>
        <w:rPr>
          <w:rFonts w:hint="eastAsia" w:ascii="宋体" w:hAnsi="宋体" w:eastAsia="宋体" w:cs="宋体"/>
          <w:sz w:val="21"/>
          <w:szCs w:val="21"/>
          <w:highlight w:val="none"/>
          <w:lang w:val="en-US" w:eastAsia="zh-CN"/>
        </w:rPr>
        <w:t>详见附件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自工程验收合格之日起计算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保修方法参照国家及地方相关规定执行。</w:t>
      </w:r>
    </w:p>
    <w:p w14:paraId="2A8DD792">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w:t>
      </w:r>
      <w:bookmarkStart w:id="7" w:name="OLE_LINK21"/>
      <w:r>
        <w:rPr>
          <w:rFonts w:hint="eastAsia" w:ascii="宋体" w:hAnsi="宋体" w:eastAsia="宋体" w:cs="宋体"/>
          <w:sz w:val="21"/>
          <w:szCs w:val="21"/>
          <w:highlight w:val="none"/>
        </w:rPr>
        <w:t>本合同一式</w:t>
      </w:r>
      <w:r>
        <w:rPr>
          <w:rFonts w:hint="eastAsia" w:ascii="宋体" w:hAnsi="宋体" w:eastAsia="宋体" w:cs="宋体"/>
          <w:sz w:val="21"/>
          <w:szCs w:val="21"/>
          <w:highlight w:val="none"/>
          <w:u w:val="single"/>
        </w:rPr>
        <w:t xml:space="preserve"> 伍 </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val="en-US" w:eastAsia="zh-CN"/>
        </w:rPr>
        <w:t>自甲乙双方签字盖章后生效，</w:t>
      </w:r>
      <w:r>
        <w:rPr>
          <w:rFonts w:hint="eastAsia" w:ascii="宋体" w:hAnsi="宋体" w:eastAsia="宋体" w:cs="宋体"/>
          <w:sz w:val="21"/>
          <w:szCs w:val="21"/>
          <w:highlight w:val="none"/>
        </w:rPr>
        <w:t>甲乙双方各执</w:t>
      </w:r>
      <w:r>
        <w:rPr>
          <w:rFonts w:hint="eastAsia" w:ascii="宋体" w:hAnsi="宋体" w:eastAsia="宋体" w:cs="宋体"/>
          <w:sz w:val="21"/>
          <w:szCs w:val="21"/>
          <w:highlight w:val="none"/>
          <w:u w:val="single"/>
        </w:rPr>
        <w:t>贰</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val="en-US" w:eastAsia="zh-CN"/>
        </w:rPr>
        <w:t>见证人</w:t>
      </w:r>
      <w:r>
        <w:rPr>
          <w:rFonts w:hint="eastAsia" w:ascii="宋体" w:hAnsi="宋体" w:eastAsia="宋体" w:cs="宋体"/>
          <w:sz w:val="21"/>
          <w:szCs w:val="21"/>
          <w:highlight w:val="none"/>
        </w:rPr>
        <w:t>执</w:t>
      </w:r>
      <w:r>
        <w:rPr>
          <w:rFonts w:hint="eastAsia" w:ascii="宋体" w:hAnsi="宋体" w:eastAsia="宋体" w:cs="宋体"/>
          <w:sz w:val="21"/>
          <w:szCs w:val="21"/>
          <w:highlight w:val="none"/>
          <w:u w:val="single"/>
        </w:rPr>
        <w:t>壹</w:t>
      </w:r>
      <w:r>
        <w:rPr>
          <w:rFonts w:hint="eastAsia" w:ascii="宋体" w:hAnsi="宋体" w:eastAsia="宋体" w:cs="宋体"/>
          <w:sz w:val="21"/>
          <w:szCs w:val="21"/>
          <w:highlight w:val="none"/>
        </w:rPr>
        <w:t>份。</w:t>
      </w:r>
      <w:bookmarkEnd w:id="7"/>
    </w:p>
    <w:p w14:paraId="2256E7E5">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本合同履行完成后自动终止。</w:t>
      </w:r>
    </w:p>
    <w:p w14:paraId="3538719B">
      <w:pPr>
        <w:rPr>
          <w:rFonts w:hint="eastAsia" w:ascii="宋体" w:hAnsi="宋体" w:eastAsia="宋体" w:cs="宋体"/>
          <w:sz w:val="21"/>
          <w:szCs w:val="21"/>
          <w:highlight w:val="none"/>
        </w:rPr>
      </w:pPr>
    </w:p>
    <w:p w14:paraId="545BF6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甲    方</w:t>
      </w:r>
      <w:r>
        <w:rPr>
          <w:rFonts w:hint="eastAsia" w:ascii="宋体" w:hAnsi="宋体" w:eastAsia="宋体" w:cs="宋体"/>
          <w:sz w:val="21"/>
          <w:szCs w:val="21"/>
          <w:highlight w:val="none"/>
        </w:rPr>
        <w:t xml:space="preserve">：                                </w:t>
      </w:r>
      <w:r>
        <w:rPr>
          <w:rFonts w:hint="eastAsia" w:ascii="宋体" w:hAnsi="宋体" w:eastAsia="宋体" w:cs="宋体"/>
          <w:b/>
          <w:sz w:val="21"/>
          <w:szCs w:val="21"/>
          <w:highlight w:val="none"/>
        </w:rPr>
        <w:t>乙    方</w:t>
      </w:r>
      <w:r>
        <w:rPr>
          <w:rFonts w:hint="eastAsia" w:ascii="宋体" w:hAnsi="宋体" w:eastAsia="宋体" w:cs="宋体"/>
          <w:sz w:val="21"/>
          <w:szCs w:val="21"/>
          <w:highlight w:val="none"/>
        </w:rPr>
        <w:t>：</w:t>
      </w:r>
    </w:p>
    <w:p w14:paraId="4219DB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单位名称（章）：                          单位名称（章）：</w:t>
      </w:r>
    </w:p>
    <w:p w14:paraId="2F83C3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                              法定代表人：</w:t>
      </w:r>
    </w:p>
    <w:p w14:paraId="5D83CC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经办人：                                  经办人：</w:t>
      </w:r>
    </w:p>
    <w:p w14:paraId="515A6E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                                    电话：</w:t>
      </w:r>
    </w:p>
    <w:p w14:paraId="1598C7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传真：                                    传真：</w:t>
      </w:r>
    </w:p>
    <w:p w14:paraId="6955E1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                                开户银行：</w:t>
      </w:r>
    </w:p>
    <w:p w14:paraId="40CCFD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账</w:t>
      </w:r>
      <w:r>
        <w:rPr>
          <w:rFonts w:hint="eastAsia" w:ascii="宋体" w:hAnsi="宋体" w:eastAsia="宋体" w:cs="宋体"/>
          <w:sz w:val="21"/>
          <w:szCs w:val="21"/>
          <w:highlight w:val="none"/>
        </w:rPr>
        <w:t xml:space="preserve">号：                                    </w:t>
      </w:r>
      <w:r>
        <w:rPr>
          <w:rFonts w:hint="eastAsia" w:ascii="宋体" w:hAnsi="宋体" w:eastAsia="宋体" w:cs="宋体"/>
          <w:sz w:val="21"/>
          <w:szCs w:val="21"/>
          <w:highlight w:val="none"/>
          <w:lang w:eastAsia="zh-CN"/>
        </w:rPr>
        <w:t>账</w:t>
      </w:r>
      <w:r>
        <w:rPr>
          <w:rFonts w:hint="eastAsia" w:ascii="宋体" w:hAnsi="宋体" w:eastAsia="宋体" w:cs="宋体"/>
          <w:sz w:val="21"/>
          <w:szCs w:val="21"/>
          <w:highlight w:val="none"/>
        </w:rPr>
        <w:t>号：</w:t>
      </w:r>
    </w:p>
    <w:p w14:paraId="1C85A4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p>
    <w:p w14:paraId="1E6AE7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p>
    <w:p w14:paraId="543DC9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p>
    <w:p w14:paraId="2B2DB8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见证人</w:t>
      </w:r>
      <w:r>
        <w:rPr>
          <w:rFonts w:hint="eastAsia" w:ascii="宋体" w:hAnsi="宋体" w:eastAsia="宋体" w:cs="宋体"/>
          <w:b/>
          <w:sz w:val="21"/>
          <w:szCs w:val="21"/>
          <w:highlight w:val="none"/>
        </w:rPr>
        <w:t>：</w:t>
      </w:r>
    </w:p>
    <w:p w14:paraId="31A8BA16">
      <w:pPr>
        <w:keepNext w:val="0"/>
        <w:keepLines w:val="0"/>
        <w:pageBreakBefore w:val="0"/>
        <w:widowControl w:val="0"/>
        <w:tabs>
          <w:tab w:val="left" w:pos="3780"/>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单位名称（章）：</w:t>
      </w:r>
      <w:r>
        <w:rPr>
          <w:rFonts w:hint="eastAsia" w:ascii="宋体" w:hAnsi="宋体" w:eastAsia="宋体" w:cs="宋体"/>
          <w:sz w:val="21"/>
          <w:szCs w:val="21"/>
          <w:highlight w:val="none"/>
          <w:u w:val="single"/>
        </w:rPr>
        <w:t>常州青枫招标有限公司</w:t>
      </w:r>
    </w:p>
    <w:p w14:paraId="31341487">
      <w:pPr>
        <w:keepNext w:val="0"/>
        <w:keepLines w:val="0"/>
        <w:pageBreakBefore w:val="0"/>
        <w:widowControl w:val="0"/>
        <w:tabs>
          <w:tab w:val="left" w:pos="3780"/>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单位地址：</w:t>
      </w:r>
      <w:r>
        <w:rPr>
          <w:rFonts w:hint="eastAsia" w:ascii="宋体" w:hAnsi="宋体" w:eastAsia="宋体" w:cs="宋体"/>
          <w:sz w:val="21"/>
          <w:szCs w:val="21"/>
          <w:highlight w:val="none"/>
          <w:u w:val="single"/>
          <w:lang w:eastAsia="zh-CN"/>
        </w:rPr>
        <w:t>常州市钟楼区运河路198号博济新博智汇谷5栋202室</w:t>
      </w:r>
    </w:p>
    <w:p w14:paraId="336794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经办人：</w:t>
      </w:r>
    </w:p>
    <w:p w14:paraId="0408E730">
      <w:pPr>
        <w:spacing w:before="120" w:beforeLines="50" w:after="120" w:afterLines="50" w:line="360" w:lineRule="auto"/>
        <w:jc w:val="center"/>
        <w:rPr>
          <w:rFonts w:hint="eastAsia" w:ascii="宋体" w:hAnsi="宋体" w:eastAsia="宋体" w:cs="宋体"/>
          <w:b/>
          <w:bCs/>
          <w:kern w:val="2"/>
          <w:sz w:val="30"/>
          <w:szCs w:val="30"/>
          <w:highlight w:val="none"/>
          <w:lang w:eastAsia="zh-CN"/>
        </w:rPr>
        <w:sectPr>
          <w:pgSz w:w="11907" w:h="16839"/>
          <w:pgMar w:top="1440" w:right="1800" w:bottom="1440" w:left="1800" w:header="851" w:footer="992" w:gutter="0"/>
          <w:pgNumType w:chapStyle="1"/>
          <w:cols w:space="720" w:num="1"/>
          <w:docGrid w:type="lines" w:linePitch="312" w:charSpace="0"/>
        </w:sectPr>
      </w:pPr>
    </w:p>
    <w:p w14:paraId="6E58A5C3">
      <w:pPr>
        <w:spacing w:before="120" w:beforeLines="50" w:after="120" w:afterLines="50" w:line="360" w:lineRule="auto"/>
        <w:jc w:val="center"/>
        <w:rPr>
          <w:rFonts w:hint="eastAsia" w:ascii="宋体" w:hAnsi="宋体" w:eastAsia="宋体" w:cs="宋体"/>
          <w:b/>
          <w:bCs/>
          <w:kern w:val="2"/>
          <w:sz w:val="30"/>
          <w:szCs w:val="30"/>
          <w:highlight w:val="none"/>
          <w:lang w:eastAsia="zh-CN"/>
        </w:rPr>
      </w:pPr>
      <w:r>
        <w:rPr>
          <w:rFonts w:hint="eastAsia" w:ascii="宋体" w:hAnsi="宋体" w:eastAsia="宋体" w:cs="宋体"/>
          <w:b/>
          <w:bCs/>
          <w:kern w:val="2"/>
          <w:sz w:val="30"/>
          <w:szCs w:val="30"/>
          <w:highlight w:val="none"/>
          <w:lang w:eastAsia="zh-CN"/>
        </w:rPr>
        <w:t>工程质量保修书</w:t>
      </w:r>
    </w:p>
    <w:p w14:paraId="6AA8129C">
      <w:pPr>
        <w:spacing w:line="360" w:lineRule="auto"/>
        <w:rPr>
          <w:rFonts w:hint="eastAsia" w:ascii="宋体" w:hAnsi="宋体" w:eastAsia="宋体" w:cs="宋体"/>
          <w:kern w:val="2"/>
          <w:sz w:val="21"/>
          <w:szCs w:val="21"/>
          <w:highlight w:val="none"/>
          <w:u w:val="single"/>
          <w:lang w:eastAsia="zh-CN"/>
        </w:rPr>
      </w:pPr>
      <w:r>
        <w:rPr>
          <w:rFonts w:hint="eastAsia" w:ascii="宋体" w:hAnsi="宋体" w:eastAsia="宋体" w:cs="宋体"/>
          <w:b/>
          <w:kern w:val="2"/>
          <w:sz w:val="21"/>
          <w:szCs w:val="21"/>
          <w:highlight w:val="none"/>
          <w:lang w:eastAsia="zh-CN"/>
        </w:rPr>
        <w:t>发包人（全称）：</w:t>
      </w:r>
    </w:p>
    <w:p w14:paraId="05D59EA9">
      <w:pPr>
        <w:spacing w:line="360" w:lineRule="auto"/>
        <w:rPr>
          <w:rFonts w:hint="eastAsia" w:ascii="宋体" w:hAnsi="宋体" w:eastAsia="宋体" w:cs="宋体"/>
          <w:b/>
          <w:kern w:val="2"/>
          <w:sz w:val="21"/>
          <w:szCs w:val="21"/>
          <w:highlight w:val="none"/>
          <w:u w:val="single"/>
          <w:lang w:eastAsia="zh-CN"/>
        </w:rPr>
      </w:pPr>
      <w:r>
        <w:rPr>
          <w:rFonts w:hint="eastAsia" w:ascii="宋体" w:hAnsi="宋体" w:eastAsia="宋体" w:cs="宋体"/>
          <w:b/>
          <w:kern w:val="2"/>
          <w:sz w:val="21"/>
          <w:szCs w:val="21"/>
          <w:highlight w:val="none"/>
          <w:lang w:eastAsia="zh-CN"/>
        </w:rPr>
        <w:t>承包人（全称）：</w:t>
      </w:r>
    </w:p>
    <w:p w14:paraId="59BADE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发包人和承包人根据《中华人民共和国建筑法》和《建设工程质量管理条例》，经协商一致就</w:t>
      </w:r>
      <w:r>
        <w:rPr>
          <w:rFonts w:hint="eastAsia" w:ascii="宋体" w:hAnsi="宋体" w:eastAsia="宋体" w:cs="宋体"/>
          <w:kern w:val="2"/>
          <w:sz w:val="21"/>
          <w:szCs w:val="21"/>
          <w:highlight w:val="none"/>
          <w:u w:val="single"/>
          <w:lang w:eastAsia="zh-CN"/>
        </w:rPr>
        <w:t xml:space="preserve">          工程</w:t>
      </w:r>
      <w:r>
        <w:rPr>
          <w:rFonts w:hint="eastAsia" w:ascii="宋体" w:hAnsi="宋体" w:eastAsia="宋体" w:cs="宋体"/>
          <w:kern w:val="2"/>
          <w:sz w:val="21"/>
          <w:szCs w:val="21"/>
          <w:highlight w:val="none"/>
          <w:lang w:eastAsia="zh-CN"/>
        </w:rPr>
        <w:t>（工程全称）签订工程质量保修书。</w:t>
      </w:r>
    </w:p>
    <w:p w14:paraId="27AE85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一、工程质量保修范围和内容</w:t>
      </w:r>
    </w:p>
    <w:p w14:paraId="356B4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承包人在质量保修期内，按照有关法律规定和合同约定，承担工程质量保修责任。</w:t>
      </w:r>
    </w:p>
    <w:p w14:paraId="2D44F1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kern w:val="2"/>
          <w:sz w:val="21"/>
          <w:szCs w:val="21"/>
          <w:highlight w:val="none"/>
          <w:u w:val="single"/>
          <w:lang w:eastAsia="zh-CN"/>
        </w:rPr>
        <w:t>按合同承包范围内容</w:t>
      </w:r>
      <w:r>
        <w:rPr>
          <w:rFonts w:hint="eastAsia" w:ascii="宋体" w:hAnsi="宋体" w:eastAsia="宋体" w:cs="宋体"/>
          <w:kern w:val="2"/>
          <w:sz w:val="21"/>
          <w:szCs w:val="21"/>
          <w:highlight w:val="none"/>
          <w:lang w:eastAsia="zh-CN"/>
        </w:rPr>
        <w:t>。</w:t>
      </w:r>
    </w:p>
    <w:p w14:paraId="104CAE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二、质量保修期</w:t>
      </w:r>
    </w:p>
    <w:p w14:paraId="77C921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根据《建设工程质量管理条例》及有关规定，工程的质量保修期如下：</w:t>
      </w:r>
    </w:p>
    <w:p w14:paraId="4775A6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1、地基基础工程和主体结构工程为设计文件规定的工程合理使用年限；</w:t>
      </w:r>
    </w:p>
    <w:p w14:paraId="4DA59D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2、屋面防水工程、有防水要求的卫生间、房间和外墙面的防渗为</w:t>
      </w:r>
      <w:r>
        <w:rPr>
          <w:rFonts w:hint="eastAsia" w:ascii="宋体" w:hAnsi="宋体" w:eastAsia="宋体" w:cs="宋体"/>
          <w:kern w:val="2"/>
          <w:sz w:val="21"/>
          <w:szCs w:val="21"/>
          <w:highlight w:val="none"/>
          <w:u w:val="single"/>
          <w:lang w:eastAsia="zh-CN"/>
        </w:rPr>
        <w:t xml:space="preserve"> 伍</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lang w:eastAsia="zh-CN"/>
        </w:rPr>
        <w:t>年；</w:t>
      </w:r>
    </w:p>
    <w:p w14:paraId="2B596A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3、装修工程为</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lang w:eastAsia="zh-CN"/>
        </w:rPr>
        <w:t>年；</w:t>
      </w:r>
    </w:p>
    <w:p w14:paraId="6B1145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4、电气管线、给排水管道、设备安装工程为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年；</w:t>
      </w:r>
    </w:p>
    <w:p w14:paraId="2C8B12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5、供热与供冷系统为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个采暖期、供冷期；</w:t>
      </w:r>
    </w:p>
    <w:p w14:paraId="227EC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6、住宅小区内的给排水设施、道路等配套工程为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年；</w:t>
      </w:r>
    </w:p>
    <w:p w14:paraId="1EB895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7、其他项目保修期限约定如下：</w:t>
      </w:r>
      <w:r>
        <w:rPr>
          <w:rFonts w:hint="eastAsia" w:ascii="宋体" w:hAnsi="宋体" w:eastAsia="宋体" w:cs="宋体"/>
          <w:kern w:val="2"/>
          <w:sz w:val="21"/>
          <w:szCs w:val="21"/>
          <w:highlight w:val="none"/>
          <w:u w:val="single"/>
          <w:lang w:eastAsia="zh-CN"/>
        </w:rPr>
        <w:t>按《建设工程质量管理条例》的规定</w:t>
      </w:r>
      <w:r>
        <w:rPr>
          <w:rFonts w:hint="eastAsia" w:ascii="宋体" w:hAnsi="宋体" w:eastAsia="宋体" w:cs="宋体"/>
          <w:kern w:val="2"/>
          <w:sz w:val="21"/>
          <w:szCs w:val="21"/>
          <w:highlight w:val="none"/>
          <w:lang w:eastAsia="zh-CN"/>
        </w:rPr>
        <w:t>。</w:t>
      </w:r>
    </w:p>
    <w:p w14:paraId="341A17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质量保修期自工程竣工验收合格之日起计算。</w:t>
      </w:r>
    </w:p>
    <w:p w14:paraId="3BDE17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三、缺陷责任期</w:t>
      </w:r>
    </w:p>
    <w:p w14:paraId="1F5558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工程缺陷责任期为</w:t>
      </w:r>
      <w:r>
        <w:rPr>
          <w:rFonts w:hint="eastAsia" w:ascii="宋体" w:hAnsi="宋体" w:eastAsia="宋体" w:cs="宋体"/>
          <w:kern w:val="2"/>
          <w:sz w:val="21"/>
          <w:szCs w:val="21"/>
          <w:highlight w:val="none"/>
          <w:u w:val="single"/>
          <w:lang w:eastAsia="zh-CN"/>
        </w:rPr>
        <w:t>24</w:t>
      </w:r>
      <w:r>
        <w:rPr>
          <w:rFonts w:hint="eastAsia" w:ascii="宋体" w:hAnsi="宋体" w:eastAsia="宋体" w:cs="宋体"/>
          <w:kern w:val="2"/>
          <w:sz w:val="21"/>
          <w:szCs w:val="21"/>
          <w:highlight w:val="none"/>
          <w:lang w:eastAsia="zh-CN"/>
        </w:rPr>
        <w:t>个月，缺陷责任期自工程实际竣工之日起计算。单位工程先于全部工程进行验收，单位工程缺陷责任期自单位工程验收合格之日起算。</w:t>
      </w:r>
    </w:p>
    <w:p w14:paraId="633BAE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缺陷责任期终止后，发包人应退还剩余的质量保证金。</w:t>
      </w:r>
    </w:p>
    <w:p w14:paraId="7C7E8B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四、质量保修责任</w:t>
      </w:r>
    </w:p>
    <w:p w14:paraId="5FECD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1、属于保修范围、内容的项目，承包人应当在接到保修通知之日起7天内派人保修。承包人不在约定期限内派人保修的，发包人可以委托他人修理。</w:t>
      </w:r>
    </w:p>
    <w:p w14:paraId="6E1F18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2、发生紧急事故需抢修的，承包人在接到事故通知后，应当立即到达事故现场抢修。</w:t>
      </w:r>
    </w:p>
    <w:p w14:paraId="5EC23A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72F80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4、质量保修完成后，由发包人组织验收。</w:t>
      </w:r>
    </w:p>
    <w:p w14:paraId="6E83E9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五、保修费用</w:t>
      </w:r>
    </w:p>
    <w:p w14:paraId="3B03E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保修费用由造成质量缺陷的责任方承担。</w:t>
      </w:r>
    </w:p>
    <w:p w14:paraId="0B8A22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kern w:val="2"/>
          <w:sz w:val="21"/>
          <w:szCs w:val="21"/>
          <w:highlight w:val="none"/>
          <w:u w:val="single"/>
          <w:lang w:val="en-US" w:eastAsia="zh-CN"/>
        </w:rPr>
      </w:pPr>
      <w:r>
        <w:rPr>
          <w:rFonts w:hint="eastAsia" w:ascii="宋体" w:hAnsi="宋体" w:eastAsia="宋体" w:cs="宋体"/>
          <w:b w:val="0"/>
          <w:bCs/>
          <w:kern w:val="2"/>
          <w:sz w:val="21"/>
          <w:szCs w:val="21"/>
          <w:highlight w:val="none"/>
          <w:lang w:eastAsia="zh-CN"/>
        </w:rPr>
        <w:t>六</w:t>
      </w:r>
      <w:r>
        <w:rPr>
          <w:rFonts w:hint="eastAsia" w:ascii="宋体" w:hAnsi="宋体" w:eastAsia="宋体" w:cs="宋体"/>
          <w:kern w:val="2"/>
          <w:sz w:val="21"/>
          <w:szCs w:val="21"/>
          <w:highlight w:val="none"/>
          <w:lang w:eastAsia="zh-CN"/>
        </w:rPr>
        <w:t>、双方约定的其他工程质量保修事项：</w:t>
      </w:r>
      <w:r>
        <w:rPr>
          <w:rFonts w:hint="eastAsia" w:ascii="宋体" w:hAnsi="宋体" w:cs="宋体"/>
          <w:kern w:val="2"/>
          <w:sz w:val="21"/>
          <w:szCs w:val="21"/>
          <w:highlight w:val="none"/>
          <w:u w:val="single"/>
          <w:lang w:val="en-US" w:eastAsia="zh-CN"/>
        </w:rPr>
        <w:t xml:space="preserve">  /  </w:t>
      </w:r>
    </w:p>
    <w:p w14:paraId="5FD584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工程质量保修书由发包人、承包人在工程竣工验收前共同签署，作为施工合同附件，其有效期限至保修期满。</w:t>
      </w:r>
    </w:p>
    <w:p w14:paraId="70CCC91A">
      <w:pPr>
        <w:spacing w:line="360" w:lineRule="auto"/>
        <w:ind w:firstLine="420"/>
        <w:rPr>
          <w:rFonts w:hint="eastAsia" w:ascii="宋体" w:hAnsi="宋体" w:eastAsia="宋体" w:cs="宋体"/>
          <w:kern w:val="2"/>
          <w:sz w:val="21"/>
          <w:szCs w:val="21"/>
          <w:highlight w:val="none"/>
          <w:lang w:eastAsia="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422"/>
      </w:tblGrid>
      <w:tr w14:paraId="20AC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jc w:val="center"/>
        </w:trPr>
        <w:tc>
          <w:tcPr>
            <w:tcW w:w="4550" w:type="dxa"/>
            <w:tcBorders>
              <w:bottom w:val="single" w:color="auto" w:sz="4" w:space="0"/>
            </w:tcBorders>
            <w:noWrap w:val="0"/>
            <w:vAlign w:val="top"/>
          </w:tcPr>
          <w:p w14:paraId="02622112">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发包人（公章）：</w:t>
            </w:r>
          </w:p>
          <w:p w14:paraId="18D70408">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 xml:space="preserve">住所： </w:t>
            </w:r>
          </w:p>
          <w:p w14:paraId="122651DC">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 xml:space="preserve">法定代表人： </w:t>
            </w:r>
          </w:p>
          <w:p w14:paraId="02CD4662">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委托代理人：</w:t>
            </w:r>
          </w:p>
          <w:p w14:paraId="1585CC26">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电话：</w:t>
            </w:r>
          </w:p>
          <w:p w14:paraId="291F32B9">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传真：</w:t>
            </w:r>
          </w:p>
          <w:p w14:paraId="6FFAA0E5">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开户银行：</w:t>
            </w:r>
          </w:p>
          <w:p w14:paraId="232D87E4">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账号：</w:t>
            </w:r>
          </w:p>
          <w:p w14:paraId="7994B9FC">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邮政编码：</w:t>
            </w:r>
          </w:p>
        </w:tc>
        <w:tc>
          <w:tcPr>
            <w:tcW w:w="4422" w:type="dxa"/>
            <w:tcBorders>
              <w:bottom w:val="single" w:color="auto" w:sz="4" w:space="0"/>
            </w:tcBorders>
            <w:noWrap w:val="0"/>
            <w:vAlign w:val="top"/>
          </w:tcPr>
          <w:p w14:paraId="6E96393F">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承包人（公章）：</w:t>
            </w:r>
          </w:p>
          <w:p w14:paraId="4E6E01BE">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住所：</w:t>
            </w:r>
          </w:p>
          <w:p w14:paraId="5E8170F6">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法定代表人：</w:t>
            </w:r>
          </w:p>
          <w:p w14:paraId="2DC4A903">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委托代理人：</w:t>
            </w:r>
          </w:p>
          <w:p w14:paraId="35D1E63F">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电话：</w:t>
            </w:r>
          </w:p>
          <w:p w14:paraId="0FE4DCAB">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传真：</w:t>
            </w:r>
          </w:p>
          <w:p w14:paraId="13E7F5E8">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开户银行：</w:t>
            </w:r>
          </w:p>
          <w:p w14:paraId="417E8C98">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账号：</w:t>
            </w:r>
          </w:p>
          <w:p w14:paraId="43BC2420">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邮政编码：</w:t>
            </w:r>
          </w:p>
        </w:tc>
      </w:tr>
    </w:tbl>
    <w:p w14:paraId="41F9C178">
      <w:pPr>
        <w:tabs>
          <w:tab w:val="left" w:pos="8190"/>
        </w:tabs>
        <w:spacing w:line="360" w:lineRule="auto"/>
        <w:jc w:val="center"/>
        <w:rPr>
          <w:rFonts w:hint="eastAsia" w:ascii="宋体" w:hAnsi="宋体" w:eastAsia="宋体" w:cs="宋体"/>
          <w:b/>
          <w:bCs/>
          <w:sz w:val="28"/>
          <w:szCs w:val="28"/>
          <w:highlight w:val="none"/>
        </w:rPr>
        <w:sectPr>
          <w:pgSz w:w="11907" w:h="16839"/>
          <w:pgMar w:top="1440" w:right="1800" w:bottom="1440" w:left="1800" w:header="851" w:footer="992" w:gutter="0"/>
          <w:pgNumType w:chapStyle="1"/>
          <w:cols w:space="720" w:num="1"/>
          <w:docGrid w:type="lines" w:linePitch="312" w:charSpace="0"/>
        </w:sectPr>
      </w:pPr>
    </w:p>
    <w:p w14:paraId="39643025">
      <w:pPr>
        <w:tabs>
          <w:tab w:val="left" w:pos="8190"/>
        </w:tabs>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第五章   评标细则</w:t>
      </w:r>
    </w:p>
    <w:p w14:paraId="3E246F41">
      <w:pPr>
        <w:pStyle w:val="61"/>
        <w:keepNext w:val="0"/>
        <w:keepLines w:val="0"/>
        <w:pageBreakBefore w:val="0"/>
        <w:widowControl w:val="0"/>
        <w:kinsoku/>
        <w:wordWrap/>
        <w:overflowPunct/>
        <w:topLinePunct w:val="0"/>
        <w:bidi w:val="0"/>
        <w:spacing w:line="560" w:lineRule="exact"/>
        <w:jc w:val="both"/>
        <w:textAlignment w:val="auto"/>
        <w:rPr>
          <w:rFonts w:hint="eastAsia" w:ascii="宋体" w:hAnsi="宋体" w:eastAsia="宋体" w:cs="宋体"/>
          <w:sz w:val="23"/>
          <w:szCs w:val="23"/>
          <w:highlight w:val="none"/>
        </w:rPr>
      </w:pPr>
      <w:r>
        <w:rPr>
          <w:rFonts w:hint="eastAsia" w:ascii="宋体" w:hAnsi="宋体" w:eastAsia="宋体" w:cs="宋体"/>
          <w:b/>
          <w:kern w:val="2"/>
          <w:sz w:val="21"/>
          <w:szCs w:val="21"/>
          <w:highlight w:val="none"/>
        </w:rPr>
        <w:t>一、评标办法（</w:t>
      </w:r>
      <w:r>
        <w:rPr>
          <w:rFonts w:hint="eastAsia" w:ascii="宋体" w:hAnsi="宋体" w:eastAsia="宋体" w:cs="宋体"/>
          <w:b/>
          <w:kern w:val="2"/>
          <w:sz w:val="21"/>
          <w:szCs w:val="21"/>
          <w:highlight w:val="none"/>
          <w:lang w:val="zh-CN"/>
        </w:rPr>
        <w:t>最低评标价法</w:t>
      </w:r>
      <w:r>
        <w:rPr>
          <w:rFonts w:hint="eastAsia" w:ascii="宋体" w:hAnsi="宋体" w:eastAsia="宋体" w:cs="宋体"/>
          <w:b/>
          <w:kern w:val="2"/>
          <w:sz w:val="21"/>
          <w:szCs w:val="21"/>
          <w:highlight w:val="none"/>
        </w:rPr>
        <w:t>）</w:t>
      </w:r>
    </w:p>
    <w:p w14:paraId="5C05C560">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rPr>
      </w:pPr>
      <w:r>
        <w:rPr>
          <w:rFonts w:hint="eastAsia" w:ascii="宋体" w:hAnsi="宋体" w:eastAsia="宋体" w:cs="宋体"/>
          <w:color w:val="0D0D0D"/>
          <w:szCs w:val="22"/>
          <w:highlight w:val="none"/>
        </w:rPr>
        <w:t>1、供应商应按照谈判文件中提供的格式完整、正确填写报价一览表。报价一览表中的报价应与分项报价表的总价完全一致，如有不一致的，以报价一览表的报价为准。</w:t>
      </w:r>
    </w:p>
    <w:p w14:paraId="657ECAA1">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rPr>
      </w:pPr>
      <w:r>
        <w:rPr>
          <w:rFonts w:hint="eastAsia" w:ascii="宋体" w:hAnsi="宋体" w:eastAsia="宋体" w:cs="宋体"/>
          <w:color w:val="0D0D0D"/>
          <w:szCs w:val="22"/>
          <w:highlight w:val="none"/>
          <w:lang w:val="en-US" w:eastAsia="zh-CN"/>
        </w:rPr>
        <w:t>2、</w:t>
      </w:r>
      <w:r>
        <w:rPr>
          <w:rFonts w:hint="eastAsia" w:ascii="宋体" w:hAnsi="宋体" w:eastAsia="宋体" w:cs="宋体"/>
          <w:color w:val="0D0D0D"/>
          <w:szCs w:val="22"/>
          <w:highlight w:val="none"/>
        </w:rPr>
        <w:t>报价货币为人民币，</w:t>
      </w:r>
      <w:r>
        <w:rPr>
          <w:rFonts w:hint="eastAsia" w:ascii="宋体" w:hAnsi="宋体" w:eastAsia="宋体" w:cs="宋体"/>
          <w:color w:val="0D0D0D"/>
          <w:szCs w:val="22"/>
          <w:highlight w:val="none"/>
          <w:lang w:val="en-US" w:eastAsia="zh-CN"/>
        </w:rPr>
        <w:t>谈判</w:t>
      </w:r>
      <w:r>
        <w:rPr>
          <w:rFonts w:hint="eastAsia" w:ascii="宋体" w:hAnsi="宋体" w:eastAsia="宋体" w:cs="宋体"/>
          <w:color w:val="0D0D0D"/>
          <w:szCs w:val="22"/>
          <w:highlight w:val="none"/>
        </w:rPr>
        <w:t>时以人民币为准。</w:t>
      </w:r>
    </w:p>
    <w:p w14:paraId="1E8D978E">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rPr>
      </w:pPr>
      <w:r>
        <w:rPr>
          <w:rFonts w:hint="eastAsia" w:ascii="宋体" w:hAnsi="宋体" w:eastAsia="宋体" w:cs="宋体"/>
          <w:b/>
          <w:bCs/>
          <w:color w:val="0D0D0D"/>
          <w:szCs w:val="22"/>
          <w:highlight w:val="none"/>
        </w:rPr>
        <w:t>3、</w:t>
      </w:r>
      <w:r>
        <w:rPr>
          <w:rFonts w:hint="eastAsia" w:ascii="宋体" w:hAnsi="宋体" w:eastAsia="宋体" w:cs="宋体"/>
          <w:b/>
          <w:color w:val="0D0D0D"/>
          <w:szCs w:val="22"/>
          <w:highlight w:val="none"/>
        </w:rPr>
        <w:t>本项目的项目预算/最高限价为</w:t>
      </w:r>
      <w:r>
        <w:rPr>
          <w:rFonts w:hint="eastAsia" w:ascii="宋体" w:hAnsi="宋体" w:eastAsia="宋体" w:cs="宋体"/>
          <w:b/>
          <w:color w:val="0D0D0D"/>
          <w:szCs w:val="22"/>
          <w:highlight w:val="none"/>
          <w:u w:val="single"/>
          <w:lang w:val="en-US" w:eastAsia="zh-CN"/>
        </w:rPr>
        <w:t xml:space="preserve"> </w:t>
      </w:r>
      <w:r>
        <w:rPr>
          <w:rFonts w:hint="eastAsia" w:ascii="宋体" w:hAnsi="宋体" w:cs="宋体"/>
          <w:b/>
          <w:color w:val="0D0D0D"/>
          <w:szCs w:val="22"/>
          <w:highlight w:val="none"/>
          <w:u w:val="single"/>
          <w:lang w:val="en-US" w:eastAsia="zh-CN"/>
        </w:rPr>
        <w:t>人民币伍拾贰万伍仟伍佰贰拾肆元玖角玖分（¥525.524.99）</w:t>
      </w:r>
      <w:r>
        <w:rPr>
          <w:rFonts w:hint="eastAsia" w:ascii="宋体" w:hAnsi="宋体" w:eastAsia="宋体" w:cs="宋体"/>
          <w:szCs w:val="22"/>
          <w:highlight w:val="none"/>
        </w:rPr>
        <w:t>，</w:t>
      </w: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rPr>
        <w:t>的</w:t>
      </w:r>
      <w:r>
        <w:rPr>
          <w:rFonts w:hint="eastAsia" w:ascii="宋体" w:hAnsi="宋体" w:eastAsia="宋体" w:cs="宋体"/>
          <w:b/>
          <w:sz w:val="21"/>
          <w:szCs w:val="21"/>
          <w:highlight w:val="none"/>
          <w:lang w:eastAsia="zh-CN"/>
        </w:rPr>
        <w:t>谈判总价</w:t>
      </w:r>
      <w:r>
        <w:rPr>
          <w:rFonts w:hint="eastAsia" w:ascii="宋体" w:hAnsi="宋体" w:eastAsia="宋体" w:cs="宋体"/>
          <w:b/>
          <w:sz w:val="21"/>
          <w:szCs w:val="21"/>
          <w:highlight w:val="none"/>
        </w:rPr>
        <w:t>不得高于最高限价</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lang w:eastAsia="zh-CN"/>
        </w:rPr>
        <w:t>谈判报价</w:t>
      </w:r>
      <w:r>
        <w:rPr>
          <w:rFonts w:hint="eastAsia" w:ascii="宋体" w:hAnsi="宋体" w:eastAsia="宋体" w:cs="宋体"/>
          <w:b/>
          <w:sz w:val="21"/>
          <w:szCs w:val="21"/>
          <w:highlight w:val="none"/>
        </w:rPr>
        <w:t>中各项清单单价不得高于控制价清单单价</w:t>
      </w:r>
      <w:r>
        <w:rPr>
          <w:rFonts w:hint="eastAsia" w:ascii="宋体" w:hAnsi="宋体" w:eastAsia="宋体" w:cs="宋体"/>
          <w:szCs w:val="22"/>
          <w:highlight w:val="none"/>
        </w:rPr>
        <w:t>，</w:t>
      </w:r>
      <w:r>
        <w:rPr>
          <w:rFonts w:hint="eastAsia" w:ascii="宋体" w:hAnsi="宋体" w:eastAsia="宋体" w:cs="宋体"/>
          <w:color w:val="0D0D0D"/>
          <w:szCs w:val="22"/>
          <w:highlight w:val="none"/>
        </w:rPr>
        <w:t>否则作为无效响应。</w:t>
      </w:r>
    </w:p>
    <w:p w14:paraId="1F33EF2E">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lang w:val="en-US" w:eastAsia="zh-CN"/>
        </w:rPr>
      </w:pPr>
      <w:r>
        <w:rPr>
          <w:rFonts w:hint="eastAsia" w:ascii="宋体" w:hAnsi="宋体" w:eastAsia="宋体" w:cs="宋体"/>
          <w:color w:val="0D0D0D"/>
          <w:szCs w:val="22"/>
          <w:highlight w:val="none"/>
        </w:rPr>
        <w:t>4、报价次数：本项目采用二次及以上报价，开标现场的最终报价作为供应商参加此次谈判的最终报价。</w:t>
      </w:r>
      <w:r>
        <w:rPr>
          <w:rFonts w:hint="eastAsia" w:ascii="宋体" w:hAnsi="宋体" w:eastAsia="宋体" w:cs="宋体"/>
          <w:color w:val="0D0D0D"/>
          <w:szCs w:val="22"/>
          <w:highlight w:val="none"/>
          <w:lang w:val="en-US" w:eastAsia="zh-CN"/>
        </w:rPr>
        <w:t>综合单价以二次报价下浮后的单价作为合同附件。</w:t>
      </w:r>
    </w:p>
    <w:p w14:paraId="689B7954">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hint="eastAsia" w:ascii="宋体" w:hAnsi="宋体" w:eastAsia="宋体" w:cs="宋体"/>
          <w:snapToGrid w:val="0"/>
          <w:color w:val="000000"/>
          <w:szCs w:val="24"/>
          <w:highlight w:val="none"/>
        </w:rPr>
      </w:pPr>
      <w:r>
        <w:rPr>
          <w:rFonts w:hint="eastAsia" w:ascii="宋体" w:hAnsi="宋体" w:eastAsia="宋体" w:cs="宋体"/>
          <w:snapToGrid w:val="0"/>
          <w:color w:val="000000"/>
          <w:szCs w:val="24"/>
          <w:highlight w:val="none"/>
        </w:rPr>
        <w:t>5、评标委员会认为供应商的报价明显低于其他通过符合性审查供应商的报价，有可能影响产品质量或者不能诚信履约的，应当要求其在谈判现场合理的时间内提供书面说明，必要时提交相关证明材料；供应商不能证明其报价合理性的，评标委员会应当将其作为无效响应处理。</w:t>
      </w:r>
    </w:p>
    <w:p w14:paraId="50096A93">
      <w:pPr>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b/>
          <w:snapToGrid w:val="0"/>
          <w:color w:val="000000"/>
          <w:szCs w:val="24"/>
          <w:highlight w:val="none"/>
        </w:rPr>
      </w:pPr>
      <w:r>
        <w:rPr>
          <w:rFonts w:hint="eastAsia" w:ascii="宋体" w:hAnsi="宋体" w:eastAsia="宋体" w:cs="宋体"/>
          <w:b/>
          <w:snapToGrid w:val="0"/>
          <w:color w:val="000000"/>
          <w:szCs w:val="24"/>
          <w:highlight w:val="none"/>
        </w:rPr>
        <w:t>二、定标办法</w:t>
      </w:r>
    </w:p>
    <w:p w14:paraId="24722680">
      <w:pPr>
        <w:keepNext w:val="0"/>
        <w:keepLines w:val="0"/>
        <w:pageBreakBefore w:val="0"/>
        <w:widowControl w:val="0"/>
        <w:kinsoku/>
        <w:wordWrap/>
        <w:overflowPunct/>
        <w:topLinePunct w:val="0"/>
        <w:bidi w:val="0"/>
        <w:spacing w:line="560" w:lineRule="exact"/>
        <w:ind w:firstLine="422" w:firstLineChars="200"/>
        <w:textAlignment w:val="auto"/>
        <w:rPr>
          <w:rFonts w:hint="eastAsia" w:ascii="宋体" w:hAnsi="宋体" w:eastAsia="宋体" w:cs="宋体"/>
          <w:highlight w:val="none"/>
          <w:lang w:eastAsia="zh-CN"/>
        </w:rPr>
      </w:pPr>
      <w:r>
        <w:rPr>
          <w:rFonts w:hint="eastAsia" w:ascii="宋体" w:hAnsi="宋体" w:eastAsia="宋体" w:cs="宋体"/>
          <w:b/>
          <w:snapToGrid w:val="0"/>
          <w:color w:val="000000"/>
          <w:szCs w:val="24"/>
          <w:highlight w:val="none"/>
        </w:rPr>
        <w:t>经评标委员会确定报价最低的</w:t>
      </w:r>
      <w:r>
        <w:rPr>
          <w:rFonts w:hint="eastAsia" w:ascii="宋体" w:hAnsi="宋体" w:eastAsia="宋体" w:cs="宋体"/>
          <w:b/>
          <w:snapToGrid w:val="0"/>
          <w:color w:val="000000"/>
          <w:szCs w:val="24"/>
          <w:highlight w:val="none"/>
          <w:lang w:eastAsia="zh-CN"/>
        </w:rPr>
        <w:t>供应商</w:t>
      </w:r>
      <w:r>
        <w:rPr>
          <w:rFonts w:hint="eastAsia" w:ascii="宋体" w:hAnsi="宋体" w:eastAsia="宋体" w:cs="宋体"/>
          <w:b/>
          <w:snapToGrid w:val="0"/>
          <w:color w:val="000000"/>
          <w:szCs w:val="24"/>
          <w:highlight w:val="none"/>
        </w:rPr>
        <w:t>为成交供应商</w:t>
      </w:r>
      <w:r>
        <w:rPr>
          <w:rFonts w:hint="eastAsia" w:ascii="宋体" w:hAnsi="宋体" w:eastAsia="宋体" w:cs="宋体"/>
          <w:b/>
          <w:snapToGrid w:val="0"/>
          <w:color w:val="000000"/>
          <w:szCs w:val="24"/>
          <w:highlight w:val="none"/>
          <w:lang w:eastAsia="zh-CN"/>
        </w:rPr>
        <w:t>。</w:t>
      </w:r>
      <w:r>
        <w:rPr>
          <w:rFonts w:hint="eastAsia" w:ascii="宋体" w:hAnsi="宋体" w:eastAsia="宋体" w:cs="宋体"/>
          <w:b/>
          <w:snapToGrid w:val="0"/>
          <w:color w:val="000000"/>
          <w:szCs w:val="24"/>
          <w:highlight w:val="none"/>
          <w:lang w:val="en-US" w:eastAsia="zh-CN"/>
        </w:rPr>
        <w:t>最后</w:t>
      </w:r>
      <w:r>
        <w:rPr>
          <w:rFonts w:hint="eastAsia" w:ascii="宋体" w:hAnsi="宋体" w:eastAsia="宋体" w:cs="宋体"/>
          <w:b/>
          <w:snapToGrid w:val="0"/>
          <w:color w:val="000000"/>
          <w:szCs w:val="24"/>
          <w:highlight w:val="none"/>
          <w:lang w:eastAsia="zh-CN"/>
        </w:rPr>
        <w:t>报价相同</w:t>
      </w:r>
      <w:r>
        <w:rPr>
          <w:rFonts w:hint="eastAsia" w:ascii="宋体" w:hAnsi="宋体" w:eastAsia="宋体" w:cs="宋体"/>
          <w:b/>
          <w:snapToGrid w:val="0"/>
          <w:color w:val="000000"/>
          <w:szCs w:val="24"/>
          <w:highlight w:val="none"/>
          <w:lang w:val="en-US" w:eastAsia="zh-CN"/>
        </w:rPr>
        <w:t>时</w:t>
      </w:r>
      <w:r>
        <w:rPr>
          <w:rFonts w:hint="eastAsia" w:ascii="宋体" w:hAnsi="宋体" w:eastAsia="宋体" w:cs="宋体"/>
          <w:b/>
          <w:snapToGrid w:val="0"/>
          <w:color w:val="000000"/>
          <w:szCs w:val="24"/>
          <w:highlight w:val="none"/>
          <w:lang w:eastAsia="zh-CN"/>
        </w:rPr>
        <w:t>，则由</w:t>
      </w:r>
      <w:r>
        <w:rPr>
          <w:rFonts w:hint="eastAsia" w:ascii="宋体" w:hAnsi="宋体" w:eastAsia="宋体" w:cs="宋体"/>
          <w:b/>
          <w:snapToGrid w:val="0"/>
          <w:color w:val="000000"/>
          <w:szCs w:val="24"/>
          <w:highlight w:val="none"/>
          <w:lang w:val="en-US" w:eastAsia="zh-CN"/>
        </w:rPr>
        <w:t>采购人</w:t>
      </w:r>
      <w:r>
        <w:rPr>
          <w:rFonts w:hint="eastAsia" w:ascii="宋体" w:hAnsi="宋体" w:eastAsia="宋体" w:cs="宋体"/>
          <w:b/>
          <w:snapToGrid w:val="0"/>
          <w:color w:val="000000"/>
          <w:szCs w:val="24"/>
          <w:highlight w:val="none"/>
          <w:lang w:eastAsia="zh-CN"/>
        </w:rPr>
        <w:t>抽签确定成交供应商。</w:t>
      </w:r>
    </w:p>
    <w:p w14:paraId="55F5FAAC">
      <w:pPr>
        <w:jc w:val="center"/>
        <w:rPr>
          <w:rFonts w:hint="eastAsia" w:ascii="宋体" w:hAnsi="宋体" w:eastAsia="宋体" w:cs="宋体"/>
          <w:b/>
          <w:sz w:val="30"/>
          <w:szCs w:val="30"/>
          <w:highlight w:val="none"/>
        </w:rPr>
        <w:sectPr>
          <w:pgSz w:w="11907" w:h="16839"/>
          <w:pgMar w:top="1440" w:right="1800" w:bottom="1440" w:left="1800" w:header="851" w:footer="992" w:gutter="0"/>
          <w:pgNumType w:chapStyle="1"/>
          <w:cols w:space="720" w:num="1"/>
          <w:docGrid w:type="lines" w:linePitch="312" w:charSpace="0"/>
        </w:sectPr>
      </w:pPr>
    </w:p>
    <w:p w14:paraId="7F9C1E1D">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第六章  附    件</w:t>
      </w:r>
      <w:bookmarkEnd w:id="6"/>
    </w:p>
    <w:p w14:paraId="2215813B">
      <w:pPr>
        <w:pStyle w:val="60"/>
        <w:spacing w:line="360" w:lineRule="exact"/>
        <w:rPr>
          <w:rFonts w:hint="eastAsia" w:ascii="宋体" w:hAnsi="宋体" w:eastAsia="宋体" w:cs="宋体"/>
          <w:b/>
          <w:sz w:val="32"/>
          <w:highlight w:val="none"/>
        </w:rPr>
      </w:pPr>
      <w:bookmarkStart w:id="8" w:name="_Toc8620"/>
      <w:r>
        <w:rPr>
          <w:rFonts w:hint="eastAsia" w:ascii="宋体" w:hAnsi="宋体" w:eastAsia="宋体" w:cs="宋体"/>
          <w:b/>
          <w:sz w:val="28"/>
          <w:szCs w:val="28"/>
          <w:highlight w:val="none"/>
        </w:rPr>
        <w:t>附件1：响应函</w:t>
      </w:r>
      <w:bookmarkEnd w:id="8"/>
    </w:p>
    <w:p w14:paraId="4BCB2023">
      <w:pPr>
        <w:pStyle w:val="70"/>
        <w:spacing w:line="360" w:lineRule="exact"/>
        <w:jc w:val="center"/>
        <w:rPr>
          <w:rFonts w:hint="eastAsia" w:ascii="宋体" w:hAnsi="宋体" w:eastAsia="宋体" w:cs="宋体"/>
          <w:sz w:val="21"/>
          <w:szCs w:val="21"/>
          <w:highlight w:val="none"/>
          <w:u w:val="single"/>
        </w:rPr>
      </w:pPr>
      <w:r>
        <w:rPr>
          <w:rFonts w:hint="eastAsia" w:ascii="宋体" w:hAnsi="宋体" w:eastAsia="宋体" w:cs="宋体"/>
          <w:b/>
          <w:sz w:val="28"/>
          <w:szCs w:val="28"/>
          <w:highlight w:val="none"/>
        </w:rPr>
        <w:t>响  应  函</w:t>
      </w:r>
    </w:p>
    <w:p w14:paraId="59E3650D">
      <w:pPr>
        <w:pStyle w:val="69"/>
        <w:keepNext w:val="0"/>
        <w:keepLines w:val="0"/>
        <w:pageBreakBefore w:val="0"/>
        <w:widowControl w:val="0"/>
        <w:kinsoku/>
        <w:wordWrap/>
        <w:overflowPunct/>
        <w:topLinePunct w:val="0"/>
        <w:autoSpaceDE/>
        <w:autoSpaceDN/>
        <w:bidi w:val="0"/>
        <w:snapToGrid/>
        <w:spacing w:line="440" w:lineRule="atLeast"/>
        <w:rPr>
          <w:rFonts w:hint="eastAsia" w:ascii="宋体" w:hAnsi="宋体" w:eastAsia="宋体" w:cs="宋体"/>
          <w:sz w:val="21"/>
          <w:szCs w:val="21"/>
          <w:highlight w:val="none"/>
        </w:rPr>
      </w:pPr>
      <w:r>
        <w:rPr>
          <w:rFonts w:hint="eastAsia" w:ascii="宋体" w:hAnsi="宋体" w:eastAsia="宋体" w:cs="宋体"/>
          <w:b/>
          <w:bCs/>
          <w:sz w:val="21"/>
          <w:szCs w:val="21"/>
          <w:highlight w:val="none"/>
        </w:rPr>
        <w:t>致：</w:t>
      </w:r>
      <w:r>
        <w:rPr>
          <w:rFonts w:hint="eastAsia" w:eastAsia="宋体" w:cs="宋体"/>
          <w:b/>
          <w:bCs/>
          <w:sz w:val="21"/>
          <w:szCs w:val="21"/>
          <w:highlight w:val="none"/>
          <w:u w:val="single"/>
          <w:lang w:val="en-US" w:eastAsia="zh-CN"/>
        </w:rPr>
        <w:t>采购人</w:t>
      </w:r>
      <w:r>
        <w:rPr>
          <w:rFonts w:hint="eastAsia" w:eastAsia="宋体" w:cs="宋体"/>
          <w:b/>
          <w:bCs/>
          <w:sz w:val="21"/>
          <w:szCs w:val="21"/>
          <w:highlight w:val="none"/>
          <w:u w:val="single"/>
          <w:lang w:eastAsia="zh-CN"/>
        </w:rPr>
        <w:t>、</w:t>
      </w:r>
      <w:r>
        <w:rPr>
          <w:rFonts w:hint="eastAsia" w:ascii="宋体" w:hAnsi="宋体" w:eastAsia="宋体" w:cs="宋体"/>
          <w:b/>
          <w:bCs/>
          <w:sz w:val="21"/>
          <w:szCs w:val="21"/>
          <w:highlight w:val="none"/>
          <w:u w:val="single"/>
        </w:rPr>
        <w:t>常州青枫招标有限公司</w:t>
      </w:r>
    </w:p>
    <w:p w14:paraId="060622EF">
      <w:pPr>
        <w:pStyle w:val="69"/>
        <w:keepNext w:val="0"/>
        <w:keepLines w:val="0"/>
        <w:pageBreakBefore w:val="0"/>
        <w:widowControl w:val="0"/>
        <w:kinsoku/>
        <w:wordWrap/>
        <w:overflowPunct/>
        <w:topLinePunct w:val="0"/>
        <w:autoSpaceDE/>
        <w:autoSpaceDN/>
        <w:bidi w:val="0"/>
        <w:snapToGrid/>
        <w:spacing w:line="440" w:lineRule="atLeast"/>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我单位收到贵单位“</w:t>
      </w:r>
      <w:r>
        <w:rPr>
          <w:rFonts w:hint="eastAsia" w:eastAsia="宋体" w:cs="宋体"/>
          <w:sz w:val="21"/>
          <w:szCs w:val="21"/>
          <w:highlight w:val="none"/>
          <w:u w:val="single"/>
          <w:lang w:eastAsia="zh-CN"/>
        </w:rPr>
        <w:t>青枫采竞-2024010</w:t>
      </w:r>
      <w:r>
        <w:rPr>
          <w:rFonts w:hint="eastAsia" w:ascii="宋体" w:hAnsi="宋体" w:eastAsia="宋体" w:cs="宋体"/>
          <w:sz w:val="21"/>
          <w:szCs w:val="21"/>
          <w:highlight w:val="none"/>
        </w:rPr>
        <w:t>”谈判文件后，经仔细阅读和研究，我们决定参加本项目的谈判活动并投标。为此，我方郑重声明以下诸点，并负法律责任。</w:t>
      </w:r>
    </w:p>
    <w:p w14:paraId="4C9A7CB8">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1.我单位愿意遵守贵单位有关采购的各项规定，提供谈判文件中要求的所有资料，并保证完全真实准确，若有虚假和违背，我单位愿意承担由此而产生的一切后果。</w:t>
      </w:r>
    </w:p>
    <w:p w14:paraId="0A91CD41">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2.我单位承诺财务状况良好，依法缴纳税收和社会保障资金，具备履行合同所必需的设备和专业技术能力，参加采购活动前3年内在经营活动中没有重大违法记录。</w:t>
      </w:r>
    </w:p>
    <w:p w14:paraId="2933DD69">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3.我单位承诺该谈判响应文件在谈判开始后的全过程中保持有效，不作任何更改和变动。并同意按谈判文件中的规定，本谈判响应文件的有效期限为谈判开始后</w:t>
      </w:r>
      <w:r>
        <w:rPr>
          <w:rFonts w:hint="eastAsia" w:ascii="宋体" w:hAnsi="宋体" w:eastAsia="宋体" w:cs="宋体"/>
          <w:sz w:val="21"/>
          <w:szCs w:val="21"/>
          <w:highlight w:val="none"/>
          <w:u w:val="single"/>
          <w:lang w:val="en-US" w:eastAsia="zh-CN"/>
        </w:rPr>
        <w:t>60</w:t>
      </w:r>
      <w:r>
        <w:rPr>
          <w:rFonts w:hint="eastAsia" w:ascii="宋体" w:hAnsi="宋体" w:eastAsia="宋体" w:cs="宋体"/>
          <w:sz w:val="21"/>
          <w:szCs w:val="21"/>
          <w:highlight w:val="none"/>
          <w:lang w:val="en-US" w:eastAsia="zh-CN"/>
        </w:rPr>
        <w:t>天。</w:t>
      </w:r>
    </w:p>
    <w:p w14:paraId="363A0C97">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4.我单位愿意按谈判文件规定的各项要求，向采购人提供所需工程及服务。</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包括但不限于</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及其基本技术要求范围内相应工程开工前的准备（包括现场踏勘、技术核对等）、技术资料、施工、技术服务、主管单位验收、质保期及维保服务和</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所要求的相关工程等全部费用。</w:t>
      </w:r>
    </w:p>
    <w:p w14:paraId="23B7F1C9">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5.我单位认为贵单位有权决定成交供应商，还认为贵单位有权接受或拒绝所有的供应商。</w:t>
      </w:r>
    </w:p>
    <w:p w14:paraId="591DEC62">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6.我单位愿意遵守谈判文件中所列的收费标准，按谈判文件的规定，若我单位成交，我单位愿意在签订合同前按谈判文件的规定支付成交服务费。</w:t>
      </w:r>
    </w:p>
    <w:p w14:paraId="4E836D50">
      <w:pPr>
        <w:keepNext w:val="0"/>
        <w:keepLines w:val="0"/>
        <w:pageBreakBefore w:val="0"/>
        <w:widowControl w:val="0"/>
        <w:kinsoku/>
        <w:wordWrap/>
        <w:overflowPunct/>
        <w:topLinePunct w:val="0"/>
        <w:autoSpaceDE/>
        <w:autoSpaceDN/>
        <w:bidi w:val="0"/>
        <w:snapToGrid/>
        <w:spacing w:line="440" w:lineRule="atLeast"/>
        <w:ind w:firstLine="420" w:firstLineChars="200"/>
        <w:jc w:val="both"/>
        <w:rPr>
          <w:rFonts w:hint="eastAsia" w:ascii="宋体" w:hAnsi="宋体" w:eastAsia="宋体" w:cs="宋体"/>
          <w:color w:val="000000"/>
          <w:kern w:val="2"/>
          <w:sz w:val="21"/>
          <w:highlight w:val="none"/>
          <w:lang w:val="en-US" w:eastAsia="zh-CN" w:bidi="ar-SA"/>
        </w:rPr>
      </w:pPr>
      <w:r>
        <w:rPr>
          <w:rFonts w:hint="eastAsia" w:ascii="宋体" w:hAnsi="宋体" w:eastAsia="宋体" w:cs="宋体"/>
          <w:kern w:val="2"/>
          <w:sz w:val="21"/>
          <w:szCs w:val="21"/>
          <w:highlight w:val="none"/>
          <w:lang w:val="en-US" w:eastAsia="zh-CN" w:bidi="ar-SA"/>
        </w:rPr>
        <w:t>7.如果我单位的谈判响应文件被接受，愿按《中华人民共和国民法典》履行自己的全部责任，同时严格履行谈判文件中规定的每</w:t>
      </w:r>
      <w:r>
        <w:rPr>
          <w:rFonts w:hint="eastAsia" w:ascii="宋体" w:hAnsi="宋体" w:eastAsia="宋体" w:cs="宋体"/>
          <w:sz w:val="21"/>
          <w:szCs w:val="21"/>
          <w:highlight w:val="none"/>
          <w:lang w:val="en-US" w:eastAsia="zh-CN"/>
        </w:rPr>
        <w:t>一项要求，按期、按质、按量履行合同的义务。</w:t>
      </w:r>
    </w:p>
    <w:p w14:paraId="10931607">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color w:val="000000"/>
          <w:kern w:val="2"/>
          <w:sz w:val="21"/>
          <w:highlight w:val="none"/>
          <w:lang w:val="en-US" w:eastAsia="zh-CN" w:bidi="ar-SA"/>
        </w:rPr>
        <w:t>8.与本投标有关的正式通讯地址为：</w:t>
      </w:r>
    </w:p>
    <w:p w14:paraId="160710BF">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p>
    <w:p w14:paraId="5BE61BE2">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p>
    <w:p w14:paraId="476DC17F">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供应商（盖章）：</w:t>
      </w:r>
    </w:p>
    <w:p w14:paraId="61F2A684">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14:paraId="1ECF6F8B">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地   址：                  </w:t>
      </w:r>
    </w:p>
    <w:p w14:paraId="6E4CA733">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电   话：                                  </w:t>
      </w:r>
    </w:p>
    <w:p w14:paraId="5AACADEB">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b/>
          <w:sz w:val="28"/>
          <w:szCs w:val="28"/>
          <w:highlight w:val="none"/>
        </w:rPr>
      </w:pPr>
      <w:r>
        <w:rPr>
          <w:rFonts w:hint="eastAsia" w:ascii="宋体" w:hAnsi="宋体" w:eastAsia="宋体" w:cs="宋体"/>
          <w:szCs w:val="21"/>
          <w:highlight w:val="none"/>
        </w:rPr>
        <w:t>日    期：     年    月    日</w:t>
      </w:r>
      <w:bookmarkStart w:id="9" w:name="_Toc18201"/>
    </w:p>
    <w:p w14:paraId="22B604A2">
      <w:pPr>
        <w:pStyle w:val="60"/>
        <w:spacing w:line="360" w:lineRule="exact"/>
        <w:rPr>
          <w:rFonts w:hint="eastAsia" w:ascii="宋体" w:hAnsi="宋体" w:eastAsia="宋体" w:cs="宋体"/>
          <w:b/>
          <w:sz w:val="28"/>
          <w:szCs w:val="28"/>
          <w:highlight w:val="none"/>
        </w:rPr>
        <w:sectPr>
          <w:pgSz w:w="11907" w:h="16839"/>
          <w:pgMar w:top="1440" w:right="1800" w:bottom="1440" w:left="1800" w:header="851" w:footer="992" w:gutter="0"/>
          <w:pgNumType w:chapStyle="1"/>
          <w:cols w:space="720" w:num="1"/>
          <w:docGrid w:type="lines" w:linePitch="312" w:charSpace="0"/>
        </w:sectPr>
      </w:pPr>
    </w:p>
    <w:p w14:paraId="1DF646C6">
      <w:pPr>
        <w:pStyle w:val="60"/>
        <w:spacing w:line="36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附件2：法定代表人资格证明书</w:t>
      </w:r>
    </w:p>
    <w:p w14:paraId="3573A272">
      <w:pPr>
        <w:rPr>
          <w:rFonts w:hint="eastAsia" w:ascii="宋体" w:hAnsi="宋体" w:eastAsia="宋体" w:cs="宋体"/>
          <w:highlight w:val="none"/>
        </w:rPr>
      </w:pPr>
    </w:p>
    <w:p w14:paraId="11249CD3">
      <w:pPr>
        <w:spacing w:line="360" w:lineRule="auto"/>
        <w:jc w:val="center"/>
        <w:rPr>
          <w:rFonts w:hint="eastAsia" w:ascii="宋体" w:hAnsi="宋体" w:eastAsia="宋体" w:cs="宋体"/>
          <w:b/>
          <w:sz w:val="32"/>
          <w:szCs w:val="32"/>
          <w:highlight w:val="none"/>
        </w:rPr>
      </w:pPr>
      <w:bookmarkStart w:id="10" w:name="_Toc18209_WPSOffice_Level1"/>
      <w:r>
        <w:rPr>
          <w:rFonts w:hint="eastAsia" w:ascii="宋体" w:hAnsi="宋体" w:eastAsia="宋体" w:cs="宋体"/>
          <w:b/>
          <w:sz w:val="28"/>
          <w:szCs w:val="28"/>
          <w:highlight w:val="none"/>
        </w:rPr>
        <w:t>法定代表人资格证明书</w:t>
      </w:r>
      <w:bookmarkEnd w:id="10"/>
    </w:p>
    <w:tbl>
      <w:tblPr>
        <w:tblStyle w:val="27"/>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765"/>
        <w:gridCol w:w="1189"/>
        <w:gridCol w:w="3485"/>
      </w:tblGrid>
      <w:tr w14:paraId="026F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14:paraId="255677C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单位名称</w:t>
            </w:r>
          </w:p>
        </w:tc>
        <w:tc>
          <w:tcPr>
            <w:tcW w:w="6439" w:type="dxa"/>
            <w:gridSpan w:val="3"/>
            <w:vAlign w:val="center"/>
          </w:tcPr>
          <w:p w14:paraId="3E9D94C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r>
      <w:tr w14:paraId="3B21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14:paraId="7D71B4F8">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6439" w:type="dxa"/>
            <w:gridSpan w:val="3"/>
            <w:vAlign w:val="center"/>
          </w:tcPr>
          <w:p w14:paraId="58EE1FF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r>
      <w:tr w14:paraId="3194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14:paraId="7B0CBC2E">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1765" w:type="dxa"/>
            <w:vAlign w:val="center"/>
          </w:tcPr>
          <w:p w14:paraId="204A2499">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c>
          <w:tcPr>
            <w:tcW w:w="1189" w:type="dxa"/>
            <w:vAlign w:val="center"/>
          </w:tcPr>
          <w:p w14:paraId="3CA47CD7">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3485" w:type="dxa"/>
            <w:vAlign w:val="center"/>
          </w:tcPr>
          <w:p w14:paraId="27E9D9A5">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r>
      <w:tr w14:paraId="4D8C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4"/>
            <w:vAlign w:val="center"/>
          </w:tcPr>
          <w:p w14:paraId="6C9A1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（法定代表人姓名）</w:t>
            </w: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（单位名称）  </w:t>
            </w:r>
            <w:r>
              <w:rPr>
                <w:rFonts w:hint="eastAsia" w:ascii="宋体" w:hAnsi="宋体" w:eastAsia="宋体" w:cs="宋体"/>
                <w:szCs w:val="21"/>
                <w:highlight w:val="none"/>
              </w:rPr>
              <w:t xml:space="preserve">的法定代表人。为实施 </w:t>
            </w:r>
            <w:r>
              <w:rPr>
                <w:rFonts w:hint="eastAsia" w:ascii="宋体" w:hAnsi="宋体" w:eastAsia="宋体" w:cs="宋体"/>
                <w:szCs w:val="21"/>
                <w:highlight w:val="none"/>
                <w:u w:val="single"/>
              </w:rPr>
              <w:t xml:space="preserve">           项目（编号：      ）</w:t>
            </w:r>
            <w:r>
              <w:rPr>
                <w:rFonts w:hint="eastAsia" w:ascii="宋体" w:hAnsi="宋体" w:eastAsia="宋体" w:cs="宋体"/>
                <w:szCs w:val="21"/>
                <w:highlight w:val="none"/>
              </w:rPr>
              <w:t>的工作，签署本项目的响应文件、进行合同谈判、签署合同和处理与之有关的一切事务。</w:t>
            </w:r>
          </w:p>
          <w:p w14:paraId="21F299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特此证明。</w:t>
            </w:r>
          </w:p>
        </w:tc>
      </w:tr>
    </w:tbl>
    <w:p w14:paraId="05957107">
      <w:pPr>
        <w:spacing w:line="360" w:lineRule="auto"/>
        <w:rPr>
          <w:rFonts w:hint="eastAsia" w:ascii="宋体" w:hAnsi="宋体" w:eastAsia="宋体" w:cs="宋体"/>
          <w:szCs w:val="21"/>
          <w:highlight w:val="none"/>
        </w:rPr>
      </w:pPr>
    </w:p>
    <w:p w14:paraId="1D278FC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供应商（盖章）：</w:t>
      </w:r>
    </w:p>
    <w:p w14:paraId="03265DA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法定代表人签字或盖章：</w:t>
      </w:r>
    </w:p>
    <w:p w14:paraId="293426DD">
      <w:pPr>
        <w:spacing w:line="360" w:lineRule="auto"/>
        <w:ind w:firstLine="3570" w:firstLineChars="1700"/>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25F6E8FB">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法定代表人身份证复印件：</w:t>
      </w:r>
    </w:p>
    <w:p w14:paraId="5984FCC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（黏贴后加盖骑缝公章）</w:t>
      </w:r>
    </w:p>
    <w:p w14:paraId="59B3923E">
      <w:pPr>
        <w:snapToGrid w:val="0"/>
        <w:spacing w:line="360" w:lineRule="auto"/>
        <w:jc w:val="center"/>
        <w:rPr>
          <w:rFonts w:hint="eastAsia" w:ascii="宋体" w:hAnsi="宋体" w:eastAsia="宋体" w:cs="宋体"/>
          <w:szCs w:val="21"/>
          <w:highlight w:val="none"/>
        </w:rPr>
      </w:pPr>
      <w:r>
        <w:rPr>
          <w:rFonts w:hint="eastAsia" w:ascii="宋体" w:hAnsi="宋体" w:eastAsia="宋体" w:cs="宋体"/>
          <w:sz w:val="24"/>
          <w:highlight w:val="none"/>
        </w:rPr>
        <mc:AlternateContent>
          <mc:Choice Requires="wps">
            <w:drawing>
              <wp:anchor distT="0" distB="0" distL="114300" distR="114300" simplePos="0" relativeHeight="251664384" behindDoc="0" locked="0" layoutInCell="1" allowOverlap="1">
                <wp:simplePos x="0" y="0"/>
                <wp:positionH relativeFrom="column">
                  <wp:posOffset>2371725</wp:posOffset>
                </wp:positionH>
                <wp:positionV relativeFrom="paragraph">
                  <wp:posOffset>257175</wp:posOffset>
                </wp:positionV>
                <wp:extent cx="596265" cy="977265"/>
                <wp:effectExtent l="0" t="0" r="13335" b="13335"/>
                <wp:wrapNone/>
                <wp:docPr id="9" name="文本框 1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wps:spPr>
                      <wps:txbx>
                        <w:txbxContent>
                          <w:p w14:paraId="1D614255">
                            <w:pPr>
                              <w:rPr>
                                <w:rFonts w:hint="eastAsia"/>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8" o:spid="_x0000_s1026" o:spt="202" type="#_x0000_t202" style="position:absolute;left:0pt;margin-left:186.75pt;margin-top:20.25pt;height:76.95pt;width:46.95pt;z-index:251664384;mso-width-relative:page;mso-height-relative:page;" fillcolor="#FFFFFF" filled="t" stroked="f" coordsize="21600,21600" o:gfxdata="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6QSK2QAAAAoBAAAPAAAAAAAAAAEAIAAAACIAAABk&#10;cnMvZG93bnJldi54bWxQSwECFAAUAAAACACHTuJAxxGrrAUCAAAWBAAADgAAAAAAAAABACAAAAAo&#10;AQAAZHJzL2Uyb0RvYy54bWxQSwUGAAAAAAYABgBZAQAAnwUAAAAA&#10;">
                <v:fill type="gradient" on="t" color2="#FFFFFF" angle="90" focus="100%" focussize="0,0">
                  <o:fill type="gradientUnscaled" v:ext="backwardCompatible"/>
                </v:fill>
                <v:stroke on="f" weight="1.25pt"/>
                <v:imagedata o:title=""/>
                <o:lock v:ext="edit" aspectratio="f"/>
                <v:textbox style="layout-flow:vertical-ideographic;">
                  <w:txbxContent>
                    <w:p w14:paraId="1D614255">
                      <w:pPr>
                        <w:rPr>
                          <w:rFonts w:hint="eastAsia"/>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sz w:val="24"/>
          <w:highlight w:val="none"/>
        </w:rPr>
        <mc:AlternateContent>
          <mc:Choice Requires="wps">
            <w:drawing>
              <wp:anchor distT="0" distB="0" distL="114300" distR="114300" simplePos="0" relativeHeight="251663360" behindDoc="0" locked="0" layoutInCell="1" hidden="1" allowOverlap="1">
                <wp:simplePos x="0" y="0"/>
                <wp:positionH relativeFrom="column">
                  <wp:posOffset>2367280</wp:posOffset>
                </wp:positionH>
                <wp:positionV relativeFrom="paragraph">
                  <wp:posOffset>278765</wp:posOffset>
                </wp:positionV>
                <wp:extent cx="596265" cy="977265"/>
                <wp:effectExtent l="0" t="0" r="0" b="0"/>
                <wp:wrapNone/>
                <wp:docPr id="7" name="文本框 19" hidden="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wps:spPr>
                      <wps:txbx>
                        <w:txbxContent>
                          <w:p w14:paraId="58641AF1">
                            <w:pPr>
                              <w:rPr>
                                <w:rFonts w:hint="eastAsia"/>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9" o:spid="_x0000_s1026" o:spt="202" type="#_x0000_t202" style="position:absolute;left:0pt;margin-left:186.4pt;margin-top:21.95pt;height:76.95pt;width:46.95pt;visibility:hidden;z-index:251663360;mso-width-relative:page;mso-height-relative:page;" fillcolor="#FFFFFF" filled="t" stroked="f" coordsize="21600,21600" o:gfxdata="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Dl+0bYAAAACgEAAA8AAAAAAAAAAQAgAAAA&#10;IgAAAGRycy9kb3ducmV2LnhtbFBLAQIUABQAAAAIAIdO4kDlO9OBCwIAACEEAAAOAAAAAAAAAAEA&#10;IAAAACc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58641AF1">
                      <w:pPr>
                        <w:rPr>
                          <w:rFonts w:hint="eastAsia"/>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sz w:val="24"/>
          <w:szCs w:val="28"/>
          <w:highlight w:val="none"/>
        </w:rPr>
        <w:drawing>
          <wp:inline distT="0" distB="0" distL="114300" distR="114300">
            <wp:extent cx="5380355" cy="1435100"/>
            <wp:effectExtent l="0" t="0" r="10795" b="12700"/>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14:paraId="70980F26">
      <w:pPr>
        <w:rPr>
          <w:rFonts w:hint="eastAsia" w:ascii="宋体" w:hAnsi="宋体" w:eastAsia="宋体" w:cs="宋体"/>
          <w:highlight w:val="none"/>
        </w:rPr>
      </w:pPr>
    </w:p>
    <w:p w14:paraId="023C3353">
      <w:pPr>
        <w:spacing w:line="400" w:lineRule="exact"/>
        <w:rPr>
          <w:rFonts w:hint="eastAsia" w:ascii="宋体" w:hAnsi="宋体" w:eastAsia="宋体" w:cs="宋体"/>
          <w:b/>
          <w:sz w:val="24"/>
          <w:szCs w:val="28"/>
          <w:highlight w:val="none"/>
        </w:rPr>
      </w:pPr>
      <w:r>
        <w:rPr>
          <w:rFonts w:hint="eastAsia" w:ascii="宋体" w:hAnsi="宋体" w:eastAsia="宋体" w:cs="宋体"/>
          <w:b/>
          <w:bCs/>
          <w:szCs w:val="21"/>
          <w:highlight w:val="none"/>
        </w:rPr>
        <w:t>注：身份证复印件信息必须清晰可辨，如因清晰度不够引起的一切后果由供应商自行承担。</w:t>
      </w:r>
    </w:p>
    <w:bookmarkEnd w:id="9"/>
    <w:p w14:paraId="7F126573">
      <w:pPr>
        <w:pageBreakBefore/>
        <w:spacing w:line="360" w:lineRule="auto"/>
        <w:rPr>
          <w:rFonts w:hint="eastAsia" w:ascii="宋体" w:hAnsi="宋体" w:eastAsia="宋体" w:cs="宋体"/>
          <w:b/>
          <w:sz w:val="28"/>
          <w:highlight w:val="none"/>
        </w:rPr>
      </w:pPr>
      <w:bookmarkStart w:id="11" w:name="_Toc1471_WPSOffice_Level1"/>
      <w:bookmarkStart w:id="12" w:name="_Toc200"/>
      <w:r>
        <w:rPr>
          <w:rFonts w:hint="eastAsia" w:ascii="宋体" w:hAnsi="宋体" w:eastAsia="宋体" w:cs="宋体"/>
          <w:b/>
          <w:sz w:val="28"/>
          <w:highlight w:val="none"/>
        </w:rPr>
        <w:t>附件3：授权委托书</w:t>
      </w:r>
      <w:bookmarkEnd w:id="11"/>
    </w:p>
    <w:p w14:paraId="49EC8B54">
      <w:pPr>
        <w:pStyle w:val="70"/>
        <w:spacing w:line="360" w:lineRule="exact"/>
        <w:jc w:val="center"/>
        <w:rPr>
          <w:rFonts w:hint="eastAsia" w:ascii="宋体" w:hAnsi="宋体" w:eastAsia="宋体" w:cs="宋体"/>
          <w:b/>
          <w:sz w:val="32"/>
          <w:highlight w:val="none"/>
        </w:rPr>
      </w:pPr>
      <w:r>
        <w:rPr>
          <w:rFonts w:hint="eastAsia" w:ascii="宋体" w:hAnsi="宋体" w:eastAsia="宋体" w:cs="宋体"/>
          <w:b/>
          <w:sz w:val="32"/>
          <w:highlight w:val="none"/>
        </w:rPr>
        <w:t>授权委托书</w:t>
      </w:r>
    </w:p>
    <w:p w14:paraId="74F76F35">
      <w:pPr>
        <w:pStyle w:val="22"/>
        <w:rPr>
          <w:rFonts w:hint="eastAsia" w:ascii="宋体" w:hAnsi="宋体" w:eastAsia="宋体" w:cs="宋体"/>
          <w:highlight w:val="none"/>
        </w:rPr>
      </w:pPr>
    </w:p>
    <w:p w14:paraId="7FCF79AF">
      <w:pPr>
        <w:adjustRightInd w:val="0"/>
        <w:snapToGrid w:val="0"/>
        <w:spacing w:line="480" w:lineRule="exact"/>
        <w:ind w:firstLine="451" w:firstLineChars="215"/>
        <w:rPr>
          <w:rFonts w:hint="eastAsia" w:ascii="宋体" w:hAnsi="宋体" w:eastAsia="宋体" w:cs="宋体"/>
          <w:szCs w:val="21"/>
          <w:highlight w:val="none"/>
        </w:rPr>
      </w:pPr>
      <w:r>
        <w:rPr>
          <w:rFonts w:hint="eastAsia" w:ascii="宋体" w:hAnsi="宋体" w:eastAsia="宋体" w:cs="宋体"/>
          <w:szCs w:val="21"/>
          <w:highlight w:val="none"/>
        </w:rPr>
        <w:t xml:space="preserve">本授权委托书声明：本人 </w:t>
      </w:r>
      <w:r>
        <w:rPr>
          <w:rFonts w:hint="eastAsia" w:ascii="宋体" w:hAnsi="宋体" w:eastAsia="宋体" w:cs="宋体"/>
          <w:szCs w:val="21"/>
          <w:highlight w:val="none"/>
          <w:u w:val="single"/>
        </w:rPr>
        <w:t xml:space="preserve">  （法定代表人姓名）   </w:t>
      </w: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（供应商名称）      </w:t>
      </w:r>
      <w:r>
        <w:rPr>
          <w:rFonts w:hint="eastAsia" w:ascii="宋体" w:hAnsi="宋体" w:eastAsia="宋体" w:cs="宋体"/>
          <w:szCs w:val="21"/>
          <w:highlight w:val="none"/>
        </w:rPr>
        <w:t>的法定代表人，现授权委托</w:t>
      </w:r>
      <w:r>
        <w:rPr>
          <w:rFonts w:hint="eastAsia" w:ascii="宋体" w:hAnsi="宋体" w:eastAsia="宋体" w:cs="宋体"/>
          <w:szCs w:val="21"/>
          <w:highlight w:val="none"/>
          <w:u w:val="single"/>
        </w:rPr>
        <w:t xml:space="preserve">   （被授权人的姓名）    </w:t>
      </w:r>
      <w:r>
        <w:rPr>
          <w:rFonts w:hint="eastAsia" w:ascii="宋体" w:hAnsi="宋体" w:eastAsia="宋体" w:cs="宋体"/>
          <w:szCs w:val="21"/>
          <w:highlight w:val="none"/>
        </w:rPr>
        <w:t>为本次投标中我单位的合法代理人，全权负责参加本次采购项目的谈判、签订合约以及与之相关的各项工作。本单位对被授权人的签名负全部责任。</w:t>
      </w:r>
    </w:p>
    <w:p w14:paraId="38735CD3">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本授权书于</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日起签字生效，特此声明。</w:t>
      </w:r>
    </w:p>
    <w:p w14:paraId="18C88420">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被授权人情况如下（必填）：</w:t>
      </w:r>
    </w:p>
    <w:p w14:paraId="129F2A76">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姓名：</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；联系电话：</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14:paraId="4F7AB05A">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14:paraId="5BA1720B">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b/>
          <w:bCs/>
          <w:szCs w:val="21"/>
          <w:highlight w:val="none"/>
        </w:rPr>
        <w:t>被授权人签字</w:t>
      </w:r>
      <w:r>
        <w:rPr>
          <w:rFonts w:hint="eastAsia" w:ascii="宋体" w:hAnsi="宋体" w:eastAsia="宋体" w:cs="宋体"/>
          <w:szCs w:val="21"/>
          <w:highlight w:val="none"/>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14:paraId="5009BEFF">
      <w:pPr>
        <w:adjustRightInd w:val="0"/>
        <w:snapToGrid w:val="0"/>
        <w:spacing w:line="360" w:lineRule="auto"/>
        <w:rPr>
          <w:rFonts w:hint="eastAsia" w:ascii="宋体" w:hAnsi="宋体" w:eastAsia="宋体" w:cs="宋体"/>
          <w:sz w:val="24"/>
          <w:szCs w:val="24"/>
          <w:highlight w:val="none"/>
        </w:rPr>
      </w:pPr>
    </w:p>
    <w:p w14:paraId="443310D6">
      <w:pPr>
        <w:spacing w:line="36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供应商（盖章）：</w:t>
      </w:r>
    </w:p>
    <w:p w14:paraId="5961D388">
      <w:pPr>
        <w:spacing w:line="360" w:lineRule="auto"/>
        <w:ind w:firstLine="4620" w:firstLineChars="2200"/>
        <w:rPr>
          <w:rFonts w:hint="eastAsia" w:ascii="宋体" w:hAnsi="宋体" w:eastAsia="宋体" w:cs="宋体"/>
          <w:szCs w:val="21"/>
          <w:highlight w:val="none"/>
        </w:rPr>
      </w:pPr>
    </w:p>
    <w:p w14:paraId="0B06F73C">
      <w:pPr>
        <w:spacing w:line="36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法定代表人签字或盖章：</w:t>
      </w:r>
    </w:p>
    <w:p w14:paraId="686960F9">
      <w:pPr>
        <w:spacing w:line="360" w:lineRule="auto"/>
        <w:rPr>
          <w:rFonts w:hint="eastAsia" w:ascii="宋体" w:hAnsi="宋体" w:eastAsia="宋体" w:cs="宋体"/>
          <w:szCs w:val="21"/>
          <w:highlight w:val="none"/>
        </w:rPr>
      </w:pPr>
    </w:p>
    <w:p w14:paraId="6118C26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被授权人身份证复印件：</w:t>
      </w:r>
    </w:p>
    <w:p w14:paraId="383728A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（黏贴后加盖骑缝公章）</w:t>
      </w:r>
    </w:p>
    <w:p w14:paraId="7E19FA78">
      <w:pPr>
        <w:snapToGrid w:val="0"/>
        <w:spacing w:line="360" w:lineRule="auto"/>
        <w:jc w:val="center"/>
        <w:rPr>
          <w:rFonts w:hint="eastAsia" w:ascii="宋体" w:hAnsi="宋体" w:eastAsia="宋体" w:cs="宋体"/>
          <w:szCs w:val="21"/>
          <w:highlight w:val="none"/>
        </w:rPr>
      </w:pPr>
      <w:r>
        <w:rPr>
          <w:rFonts w:hint="eastAsia" w:ascii="宋体" w:hAnsi="宋体" w:eastAsia="宋体" w:cs="宋体"/>
          <w:sz w:val="24"/>
          <w:highlight w:val="none"/>
        </w:rPr>
        <mc:AlternateContent>
          <mc:Choice Requires="wps">
            <w:drawing>
              <wp:anchor distT="0" distB="0" distL="114300" distR="114300" simplePos="0" relativeHeight="251662336" behindDoc="0" locked="0" layoutInCell="1" allowOverlap="1">
                <wp:simplePos x="0" y="0"/>
                <wp:positionH relativeFrom="column">
                  <wp:posOffset>2371725</wp:posOffset>
                </wp:positionH>
                <wp:positionV relativeFrom="paragraph">
                  <wp:posOffset>257175</wp:posOffset>
                </wp:positionV>
                <wp:extent cx="596265" cy="977265"/>
                <wp:effectExtent l="0" t="0" r="13335" b="13335"/>
                <wp:wrapNone/>
                <wp:docPr id="6" name="文本框 16"/>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wps:spPr>
                      <wps:txbx>
                        <w:txbxContent>
                          <w:p w14:paraId="59D71DFA">
                            <w:pPr>
                              <w:rPr>
                                <w:rFonts w:hint="eastAsia"/>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6" o:spid="_x0000_s1026" o:spt="202" type="#_x0000_t202" style="position:absolute;left:0pt;margin-left:186.75pt;margin-top:20.25pt;height:76.95pt;width:46.95pt;z-index:251662336;mso-width-relative:page;mso-height-relative:page;" fillcolor="#FFFFFF" filled="t" stroked="f" coordsize="21600,21600" o:gfxdata="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ekEitkAAAAKAQAADwAAAAAAAAABACAAAAAiAAAA&#10;ZHJzL2Rvd25yZXYueG1sUEsBAhQAFAAAAAgAh07iQKcKH/cGAgAAFgQAAA4AAAAAAAAAAQAgAAAA&#10;KAEAAGRycy9lMm9Eb2MueG1sUEsFBgAAAAAGAAYAWQEAAKAFAAAAAA==&#10;">
                <v:fill type="gradient" on="t" color2="#FFFFFF" angle="90" focus="100%" focussize="0,0">
                  <o:fill type="gradientUnscaled" v:ext="backwardCompatible"/>
                </v:fill>
                <v:stroke on="f" weight="1.25pt"/>
                <v:imagedata o:title=""/>
                <o:lock v:ext="edit" aspectratio="f"/>
                <v:textbox style="layout-flow:vertical-ideographic;">
                  <w:txbxContent>
                    <w:p w14:paraId="59D71DFA">
                      <w:pPr>
                        <w:rPr>
                          <w:rFonts w:hint="eastAsia"/>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sz w:val="24"/>
          <w:highlight w:val="none"/>
        </w:rPr>
        <mc:AlternateContent>
          <mc:Choice Requires="wps">
            <w:drawing>
              <wp:anchor distT="0" distB="0" distL="114300" distR="114300" simplePos="0" relativeHeight="251661312" behindDoc="0" locked="0" layoutInCell="1" hidden="1" allowOverlap="1">
                <wp:simplePos x="0" y="0"/>
                <wp:positionH relativeFrom="column">
                  <wp:posOffset>2367280</wp:posOffset>
                </wp:positionH>
                <wp:positionV relativeFrom="paragraph">
                  <wp:posOffset>278765</wp:posOffset>
                </wp:positionV>
                <wp:extent cx="596265" cy="977265"/>
                <wp:effectExtent l="0" t="0" r="0" b="0"/>
                <wp:wrapNone/>
                <wp:docPr id="4" name="文本框 17" hidden="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wps:spPr>
                      <wps:txbx>
                        <w:txbxContent>
                          <w:p w14:paraId="203E1F05">
                            <w:pPr>
                              <w:rPr>
                                <w:rFonts w:hint="eastAsia"/>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7" o:spid="_x0000_s1026" o:spt="202" type="#_x0000_t202" style="position:absolute;left:0pt;margin-left:186.4pt;margin-top:21.95pt;height:76.95pt;width:46.95pt;visibility:hidden;z-index:251661312;mso-width-relative:page;mso-height-relative:page;" fillcolor="#FFFFFF" filled="t" stroked="f" coordsize="21600,21600" o:gfxdata="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Dl+0bYAAAACgEAAA8AAAAAAAAAAQAgAAAA&#10;IgAAAGRycy9kb3ducmV2LnhtbFBLAQIUABQAAAAIAIdO4kA3TNXBCwIAACEEAAAOAAAAAAAAAAEA&#10;IAAAACc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203E1F05">
                      <w:pPr>
                        <w:rPr>
                          <w:rFonts w:hint="eastAsia"/>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sz w:val="24"/>
          <w:szCs w:val="28"/>
          <w:highlight w:val="none"/>
        </w:rPr>
        <w:drawing>
          <wp:inline distT="0" distB="0" distL="114300" distR="114300">
            <wp:extent cx="5380355" cy="1435100"/>
            <wp:effectExtent l="0" t="0" r="10795" b="1270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14:paraId="0FDE830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w:t>
      </w:r>
    </w:p>
    <w:p w14:paraId="05CA509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1、法定代表人参加谈判会议时，须携带并按要求提交本人身份证原件。</w:t>
      </w:r>
    </w:p>
    <w:p w14:paraId="197D4B4E">
      <w:pPr>
        <w:rPr>
          <w:rFonts w:hint="eastAsia" w:ascii="宋体" w:hAnsi="宋体" w:eastAsia="宋体" w:cs="宋体"/>
          <w:b/>
          <w:bCs/>
          <w:szCs w:val="21"/>
          <w:highlight w:val="none"/>
        </w:rPr>
      </w:pPr>
      <w:r>
        <w:rPr>
          <w:rFonts w:hint="eastAsia" w:ascii="宋体" w:hAnsi="宋体" w:eastAsia="宋体" w:cs="宋体"/>
          <w:b/>
          <w:bCs/>
          <w:szCs w:val="21"/>
          <w:highlight w:val="none"/>
        </w:rPr>
        <w:t>2、被授权人参加谈判会议时，须携带并按要求提交授权委托书和本人身份证原件。</w:t>
      </w:r>
    </w:p>
    <w:p w14:paraId="24FF9CF2">
      <w:pPr>
        <w:spacing w:line="400" w:lineRule="exact"/>
        <w:rPr>
          <w:rFonts w:hint="eastAsia" w:ascii="宋体" w:hAnsi="宋体" w:eastAsia="宋体" w:cs="宋体"/>
          <w:b/>
          <w:bCs/>
          <w:szCs w:val="21"/>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b/>
          <w:bCs/>
          <w:szCs w:val="21"/>
          <w:highlight w:val="none"/>
        </w:rPr>
        <w:t>3、身份证复印件信息必须清晰可辨，如因清晰度不够引起的一切后果由供应商自行承担。</w:t>
      </w:r>
    </w:p>
    <w:bookmarkEnd w:id="12"/>
    <w:p w14:paraId="7021FE36">
      <w:pPr>
        <w:spacing w:line="360" w:lineRule="auto"/>
        <w:outlineLvl w:val="0"/>
        <w:rPr>
          <w:rFonts w:hint="eastAsia" w:ascii="宋体" w:hAnsi="宋体" w:eastAsia="宋体" w:cs="宋体"/>
          <w:b/>
          <w:sz w:val="28"/>
          <w:szCs w:val="22"/>
          <w:highlight w:val="none"/>
        </w:rPr>
      </w:pPr>
      <w:bookmarkStart w:id="13" w:name="_Toc19587"/>
      <w:bookmarkStart w:id="14" w:name="_Toc9125"/>
      <w:bookmarkStart w:id="15" w:name="_Toc13136"/>
      <w:bookmarkStart w:id="16" w:name="_Toc30886"/>
      <w:bookmarkStart w:id="17" w:name="_Toc3169"/>
      <w:bookmarkStart w:id="18" w:name="_Toc22536"/>
      <w:bookmarkStart w:id="19" w:name="_Toc15814"/>
      <w:bookmarkStart w:id="20" w:name="_Toc306"/>
      <w:bookmarkStart w:id="21" w:name="_Toc10980"/>
      <w:r>
        <w:rPr>
          <w:rFonts w:hint="eastAsia" w:ascii="宋体" w:hAnsi="宋体" w:eastAsia="宋体" w:cs="宋体"/>
          <w:b/>
          <w:sz w:val="28"/>
          <w:szCs w:val="22"/>
          <w:highlight w:val="none"/>
        </w:rPr>
        <w:t>附件4：报价一览表</w:t>
      </w:r>
      <w:bookmarkEnd w:id="13"/>
      <w:bookmarkEnd w:id="14"/>
      <w:bookmarkEnd w:id="15"/>
      <w:bookmarkEnd w:id="16"/>
      <w:bookmarkEnd w:id="17"/>
      <w:bookmarkEnd w:id="18"/>
      <w:bookmarkEnd w:id="19"/>
      <w:bookmarkEnd w:id="20"/>
    </w:p>
    <w:p w14:paraId="23938856">
      <w:pPr>
        <w:spacing w:line="360" w:lineRule="auto"/>
        <w:jc w:val="center"/>
        <w:rPr>
          <w:rFonts w:hint="eastAsia" w:ascii="宋体" w:hAnsi="宋体" w:eastAsia="宋体" w:cs="宋体"/>
          <w:highlight w:val="none"/>
        </w:rPr>
      </w:pPr>
      <w:r>
        <w:rPr>
          <w:rFonts w:hint="eastAsia" w:ascii="宋体" w:hAnsi="宋体" w:eastAsia="宋体" w:cs="宋体"/>
          <w:b/>
          <w:sz w:val="28"/>
          <w:szCs w:val="22"/>
          <w:highlight w:val="none"/>
        </w:rPr>
        <w:t>报价一览表</w:t>
      </w:r>
    </w:p>
    <w:tbl>
      <w:tblPr>
        <w:tblStyle w:val="27"/>
        <w:tblpPr w:leftFromText="180" w:rightFromText="180" w:vertAnchor="text" w:horzAnchor="page" w:tblpX="1630" w:tblpY="280"/>
        <w:tblOverlap w:val="never"/>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6991"/>
      </w:tblGrid>
      <w:tr w14:paraId="7BBF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14:paraId="1F05744A">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项目编号</w:t>
            </w:r>
          </w:p>
        </w:tc>
        <w:tc>
          <w:tcPr>
            <w:tcW w:w="6991" w:type="dxa"/>
            <w:noWrap/>
            <w:vAlign w:val="center"/>
          </w:tcPr>
          <w:p w14:paraId="6CFBA152">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14:paraId="3F61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14:paraId="14FF1286">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991" w:type="dxa"/>
            <w:noWrap/>
            <w:vAlign w:val="center"/>
          </w:tcPr>
          <w:p w14:paraId="4A01E65B">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14:paraId="51E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restart"/>
            <w:noWrap/>
            <w:vAlign w:val="center"/>
          </w:tcPr>
          <w:p w14:paraId="1EFFA4B0">
            <w:pPr>
              <w:pStyle w:val="26"/>
              <w:keepNext w:val="0"/>
              <w:keepLines w:val="0"/>
              <w:suppressLineNumbers w:val="0"/>
              <w:spacing w:before="0" w:beforeAutospacing="0" w:after="0" w:afterAutospacing="0"/>
              <w:ind w:left="0" w:right="0" w:firstLine="0"/>
              <w:jc w:val="center"/>
              <w:rPr>
                <w:rFonts w:hint="eastAsia" w:ascii="宋体" w:hAnsi="宋体" w:eastAsia="宋体" w:cs="宋体"/>
                <w:szCs w:val="20"/>
                <w:highlight w:val="none"/>
              </w:rPr>
            </w:pPr>
            <w:r>
              <w:rPr>
                <w:rFonts w:hint="eastAsia" w:ascii="宋体" w:hAnsi="宋体" w:eastAsia="宋体" w:cs="宋体"/>
                <w:szCs w:val="20"/>
                <w:highlight w:val="none"/>
              </w:rPr>
              <w:t>谈判总价（元）</w:t>
            </w:r>
          </w:p>
        </w:tc>
        <w:tc>
          <w:tcPr>
            <w:tcW w:w="6991" w:type="dxa"/>
            <w:noWrap/>
            <w:vAlign w:val="center"/>
          </w:tcPr>
          <w:p w14:paraId="5285C262">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大写：</w:t>
            </w:r>
          </w:p>
        </w:tc>
      </w:tr>
      <w:tr w14:paraId="203D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continue"/>
            <w:noWrap/>
            <w:vAlign w:val="center"/>
          </w:tcPr>
          <w:p w14:paraId="09E29881">
            <w:pPr>
              <w:pStyle w:val="26"/>
              <w:keepNext w:val="0"/>
              <w:keepLines w:val="0"/>
              <w:suppressLineNumbers w:val="0"/>
              <w:spacing w:before="0" w:beforeAutospacing="0" w:after="0" w:afterAutospacing="0"/>
              <w:ind w:left="0" w:right="0" w:firstLine="0"/>
              <w:jc w:val="center"/>
              <w:rPr>
                <w:rFonts w:hint="eastAsia" w:ascii="宋体" w:hAnsi="宋体" w:eastAsia="宋体" w:cs="宋体"/>
                <w:szCs w:val="20"/>
                <w:highlight w:val="none"/>
              </w:rPr>
            </w:pPr>
          </w:p>
        </w:tc>
        <w:tc>
          <w:tcPr>
            <w:tcW w:w="6991" w:type="dxa"/>
            <w:noWrap/>
            <w:vAlign w:val="center"/>
          </w:tcPr>
          <w:p w14:paraId="7E939987">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小写：</w:t>
            </w:r>
          </w:p>
        </w:tc>
      </w:tr>
      <w:tr w14:paraId="6349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14:paraId="6074235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color w:val="000000"/>
                <w:szCs w:val="20"/>
                <w:highlight w:val="none"/>
                <w:lang w:eastAsia="zh-CN"/>
              </w:rPr>
              <w:t>项目经理</w:t>
            </w:r>
          </w:p>
        </w:tc>
        <w:tc>
          <w:tcPr>
            <w:tcW w:w="6991" w:type="dxa"/>
            <w:noWrap/>
            <w:vAlign w:val="center"/>
          </w:tcPr>
          <w:p w14:paraId="290BA910">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r w14:paraId="0401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14:paraId="3F7EDD34">
            <w:pPr>
              <w:keepNext w:val="0"/>
              <w:keepLines w:val="0"/>
              <w:suppressLineNumbers w:val="0"/>
              <w:spacing w:before="0" w:beforeAutospacing="0" w:after="0" w:afterAutospacing="0"/>
              <w:ind w:left="0" w:right="0"/>
              <w:jc w:val="center"/>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工期</w:t>
            </w:r>
          </w:p>
        </w:tc>
        <w:tc>
          <w:tcPr>
            <w:tcW w:w="6991" w:type="dxa"/>
            <w:noWrap/>
            <w:vAlign w:val="center"/>
          </w:tcPr>
          <w:p w14:paraId="404C12A1">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r w14:paraId="5A4E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14:paraId="7C0CBB94">
            <w:pPr>
              <w:keepNext w:val="0"/>
              <w:keepLines w:val="0"/>
              <w:suppressLineNumbers w:val="0"/>
              <w:spacing w:before="0" w:beforeAutospacing="0" w:after="0" w:afterAutospacing="0"/>
              <w:ind w:left="0" w:right="0"/>
              <w:jc w:val="center"/>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质量</w:t>
            </w:r>
          </w:p>
        </w:tc>
        <w:tc>
          <w:tcPr>
            <w:tcW w:w="6991" w:type="dxa"/>
            <w:noWrap/>
            <w:vAlign w:val="center"/>
          </w:tcPr>
          <w:p w14:paraId="14B9C1FF">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r w14:paraId="216F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14:paraId="469F40C9">
            <w:pPr>
              <w:keepNext w:val="0"/>
              <w:keepLines w:val="0"/>
              <w:suppressLineNumbers w:val="0"/>
              <w:spacing w:before="0" w:beforeAutospacing="0" w:after="0" w:afterAutospacing="0"/>
              <w:ind w:left="0" w:right="0"/>
              <w:jc w:val="center"/>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质保期</w:t>
            </w:r>
          </w:p>
        </w:tc>
        <w:tc>
          <w:tcPr>
            <w:tcW w:w="6991" w:type="dxa"/>
            <w:noWrap/>
            <w:vAlign w:val="center"/>
          </w:tcPr>
          <w:p w14:paraId="11988D45">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bl>
    <w:p w14:paraId="12E7B872">
      <w:pPr>
        <w:widowControl/>
        <w:snapToGrid w:val="0"/>
        <w:spacing w:line="360" w:lineRule="auto"/>
        <w:ind w:firstLine="4620" w:firstLineChars="2200"/>
        <w:rPr>
          <w:rFonts w:hint="eastAsia" w:ascii="宋体" w:hAnsi="宋体" w:eastAsia="宋体" w:cs="宋体"/>
          <w:kern w:val="0"/>
          <w:szCs w:val="21"/>
          <w:highlight w:val="none"/>
        </w:rPr>
      </w:pPr>
    </w:p>
    <w:p w14:paraId="1D19B5E5">
      <w:pPr>
        <w:widowControl/>
        <w:snapToGrid w:val="0"/>
        <w:spacing w:line="360" w:lineRule="auto"/>
        <w:ind w:firstLine="4620" w:firstLineChars="2200"/>
        <w:rPr>
          <w:rFonts w:hint="eastAsia" w:ascii="宋体" w:hAnsi="宋体" w:eastAsia="宋体" w:cs="宋体"/>
          <w:kern w:val="0"/>
          <w:szCs w:val="21"/>
          <w:highlight w:val="none"/>
        </w:rPr>
      </w:pPr>
      <w:r>
        <w:rPr>
          <w:rFonts w:hint="eastAsia" w:ascii="宋体" w:hAnsi="宋体" w:eastAsia="宋体" w:cs="宋体"/>
          <w:kern w:val="0"/>
          <w:szCs w:val="21"/>
          <w:highlight w:val="none"/>
        </w:rPr>
        <w:t>供应商（盖章）：</w:t>
      </w:r>
    </w:p>
    <w:p w14:paraId="2A881906">
      <w:pPr>
        <w:widowControl/>
        <w:snapToGrid w:val="0"/>
        <w:spacing w:line="360" w:lineRule="auto"/>
        <w:rPr>
          <w:rFonts w:hint="eastAsia" w:ascii="宋体" w:hAnsi="宋体" w:eastAsia="宋体" w:cs="宋体"/>
          <w:kern w:val="0"/>
          <w:szCs w:val="21"/>
          <w:highlight w:val="none"/>
        </w:rPr>
      </w:pPr>
    </w:p>
    <w:p w14:paraId="50B6A800">
      <w:pPr>
        <w:snapToGrid w:val="0"/>
        <w:spacing w:line="36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14:paraId="46E1B4BA">
      <w:pPr>
        <w:snapToGrid w:val="0"/>
        <w:spacing w:line="360" w:lineRule="auto"/>
        <w:ind w:firstLine="4620" w:firstLineChars="2200"/>
        <w:rPr>
          <w:rFonts w:hint="eastAsia" w:ascii="宋体" w:hAnsi="宋体" w:eastAsia="宋体" w:cs="宋体"/>
          <w:szCs w:val="21"/>
          <w:highlight w:val="none"/>
        </w:rPr>
      </w:pPr>
    </w:p>
    <w:p w14:paraId="77C6DA96">
      <w:pPr>
        <w:snapToGrid w:val="0"/>
        <w:spacing w:line="360" w:lineRule="auto"/>
        <w:ind w:firstLine="4620" w:firstLineChars="2200"/>
        <w:rPr>
          <w:rFonts w:hint="eastAsia" w:ascii="宋体" w:hAnsi="宋体" w:eastAsia="宋体" w:cs="宋体"/>
          <w:kern w:val="0"/>
          <w:szCs w:val="21"/>
          <w:highlight w:val="none"/>
        </w:rPr>
      </w:pPr>
      <w:r>
        <w:rPr>
          <w:rFonts w:hint="eastAsia" w:ascii="宋体" w:hAnsi="宋体" w:eastAsia="宋体" w:cs="宋体"/>
          <w:highlight w:val="none"/>
        </w:rPr>
        <w:t>日期：</w:t>
      </w:r>
      <w:r>
        <w:rPr>
          <w:rFonts w:hint="eastAsia" w:ascii="宋体" w:hAnsi="宋体" w:eastAsia="宋体" w:cs="宋体"/>
          <w:kern w:val="0"/>
          <w:szCs w:val="21"/>
          <w:highlight w:val="none"/>
        </w:rPr>
        <w:t xml:space="preserve">年  月 </w:t>
      </w:r>
      <w:bookmarkStart w:id="22" w:name="_Toc10458"/>
    </w:p>
    <w:p w14:paraId="2091692F">
      <w:pPr>
        <w:pStyle w:val="26"/>
        <w:rPr>
          <w:rFonts w:hint="eastAsia" w:ascii="宋体" w:hAnsi="宋体" w:eastAsia="宋体" w:cs="宋体"/>
          <w:kern w:val="0"/>
          <w:szCs w:val="21"/>
          <w:highlight w:val="none"/>
        </w:rPr>
      </w:pPr>
    </w:p>
    <w:p w14:paraId="326D0D04">
      <w:pPr>
        <w:rPr>
          <w:rFonts w:hint="eastAsia" w:ascii="宋体" w:hAnsi="宋体" w:eastAsia="宋体" w:cs="宋体"/>
          <w:kern w:val="0"/>
          <w:szCs w:val="21"/>
          <w:highlight w:val="none"/>
        </w:rPr>
      </w:pPr>
    </w:p>
    <w:p w14:paraId="2E013F22">
      <w:pPr>
        <w:pStyle w:val="26"/>
        <w:rPr>
          <w:rFonts w:hint="eastAsia" w:ascii="宋体" w:hAnsi="宋体" w:eastAsia="宋体" w:cs="宋体"/>
          <w:kern w:val="0"/>
          <w:szCs w:val="21"/>
          <w:highlight w:val="none"/>
        </w:rPr>
      </w:pPr>
    </w:p>
    <w:p w14:paraId="40473961">
      <w:pPr>
        <w:rPr>
          <w:rFonts w:hint="eastAsia" w:ascii="宋体" w:hAnsi="宋体" w:eastAsia="宋体" w:cs="宋体"/>
          <w:kern w:val="0"/>
          <w:szCs w:val="21"/>
          <w:highlight w:val="none"/>
        </w:rPr>
      </w:pPr>
    </w:p>
    <w:p w14:paraId="53BB6605">
      <w:pPr>
        <w:pStyle w:val="26"/>
        <w:rPr>
          <w:rFonts w:hint="eastAsia" w:ascii="宋体" w:hAnsi="宋体" w:eastAsia="宋体" w:cs="宋体"/>
          <w:highlight w:val="none"/>
        </w:rPr>
      </w:pPr>
    </w:p>
    <w:p w14:paraId="541C861D">
      <w:pPr>
        <w:spacing w:line="360" w:lineRule="auto"/>
        <w:outlineLvl w:val="0"/>
        <w:rPr>
          <w:rFonts w:hint="eastAsia" w:ascii="宋体" w:hAnsi="宋体" w:eastAsia="宋体" w:cs="宋体"/>
          <w:b/>
          <w:sz w:val="28"/>
          <w:szCs w:val="22"/>
          <w:highlight w:val="none"/>
        </w:rPr>
      </w:pPr>
    </w:p>
    <w:p w14:paraId="4B2EE452">
      <w:pPr>
        <w:spacing w:line="360" w:lineRule="auto"/>
        <w:outlineLvl w:val="0"/>
        <w:rPr>
          <w:rFonts w:hint="eastAsia" w:ascii="宋体" w:hAnsi="宋体" w:eastAsia="宋体" w:cs="宋体"/>
          <w:b/>
          <w:sz w:val="28"/>
          <w:szCs w:val="22"/>
          <w:highlight w:val="none"/>
        </w:rPr>
      </w:pPr>
    </w:p>
    <w:p w14:paraId="6281883E">
      <w:pPr>
        <w:spacing w:line="360" w:lineRule="auto"/>
        <w:outlineLvl w:val="0"/>
        <w:rPr>
          <w:rFonts w:hint="eastAsia" w:ascii="宋体" w:hAnsi="宋体" w:eastAsia="宋体" w:cs="宋体"/>
          <w:b/>
          <w:sz w:val="28"/>
          <w:szCs w:val="22"/>
          <w:highlight w:val="none"/>
        </w:rPr>
      </w:pPr>
    </w:p>
    <w:p w14:paraId="27EA5F1B">
      <w:pPr>
        <w:rPr>
          <w:rFonts w:hint="eastAsia" w:ascii="宋体" w:hAnsi="宋体" w:eastAsia="宋体" w:cs="宋体"/>
          <w:b/>
          <w:sz w:val="28"/>
          <w:szCs w:val="22"/>
          <w:highlight w:val="none"/>
          <w:lang w:eastAsia="zh-CN"/>
        </w:rPr>
      </w:pPr>
      <w:r>
        <w:rPr>
          <w:rFonts w:hint="eastAsia" w:ascii="宋体" w:hAnsi="宋体" w:eastAsia="宋体" w:cs="宋体"/>
          <w:b/>
          <w:sz w:val="28"/>
          <w:szCs w:val="22"/>
          <w:highlight w:val="none"/>
        </w:rPr>
        <w:t>附件</w:t>
      </w:r>
      <w:r>
        <w:rPr>
          <w:rFonts w:hint="eastAsia" w:ascii="宋体" w:hAnsi="宋体" w:eastAsia="宋体" w:cs="宋体"/>
          <w:b/>
          <w:sz w:val="28"/>
          <w:szCs w:val="22"/>
          <w:highlight w:val="none"/>
          <w:lang w:val="en-US" w:eastAsia="zh-CN"/>
        </w:rPr>
        <w:t>5</w:t>
      </w:r>
      <w:r>
        <w:rPr>
          <w:rFonts w:hint="eastAsia" w:ascii="宋体" w:hAnsi="宋体" w:eastAsia="宋体" w:cs="宋体"/>
          <w:b/>
          <w:sz w:val="28"/>
          <w:szCs w:val="22"/>
          <w:highlight w:val="none"/>
        </w:rPr>
        <w:t>：</w:t>
      </w:r>
      <w:r>
        <w:rPr>
          <w:rFonts w:hint="eastAsia" w:ascii="宋体" w:hAnsi="宋体" w:eastAsia="宋体" w:cs="宋体"/>
          <w:b/>
          <w:sz w:val="28"/>
          <w:szCs w:val="22"/>
          <w:highlight w:val="none"/>
          <w:lang w:eastAsia="zh-CN"/>
        </w:rPr>
        <w:t>谈判总价</w:t>
      </w:r>
    </w:p>
    <w:p w14:paraId="333CC006">
      <w:pPr>
        <w:spacing w:line="360" w:lineRule="auto"/>
        <w:jc w:val="center"/>
        <w:rPr>
          <w:rFonts w:hint="eastAsia" w:ascii="宋体" w:hAnsi="宋体" w:eastAsia="宋体" w:cs="宋体"/>
          <w:b/>
          <w:sz w:val="32"/>
          <w:szCs w:val="32"/>
          <w:highlight w:val="none"/>
        </w:rPr>
      </w:pPr>
      <w:r>
        <w:rPr>
          <w:rFonts w:hint="eastAsia" w:ascii="宋体" w:hAnsi="宋体" w:cs="宋体"/>
          <w:b/>
          <w:sz w:val="32"/>
          <w:szCs w:val="32"/>
          <w:highlight w:val="none"/>
          <w:lang w:val="en-US" w:eastAsia="zh-CN"/>
        </w:rPr>
        <w:t>谈</w:t>
      </w:r>
      <w:r>
        <w:rPr>
          <w:rFonts w:hint="eastAsia" w:ascii="宋体" w:hAnsi="宋体" w:eastAsia="宋体" w:cs="宋体"/>
          <w:b/>
          <w:sz w:val="32"/>
          <w:szCs w:val="32"/>
          <w:highlight w:val="none"/>
        </w:rPr>
        <w:t xml:space="preserve">  </w:t>
      </w:r>
      <w:r>
        <w:rPr>
          <w:rFonts w:hint="eastAsia" w:ascii="宋体" w:hAnsi="宋体" w:cs="宋体"/>
          <w:b/>
          <w:sz w:val="32"/>
          <w:szCs w:val="32"/>
          <w:highlight w:val="none"/>
          <w:lang w:val="en-US" w:eastAsia="zh-CN"/>
        </w:rPr>
        <w:t>判</w:t>
      </w:r>
      <w:r>
        <w:rPr>
          <w:rFonts w:hint="eastAsia" w:ascii="宋体" w:hAnsi="宋体" w:eastAsia="宋体" w:cs="宋体"/>
          <w:b/>
          <w:sz w:val="32"/>
          <w:szCs w:val="32"/>
          <w:highlight w:val="none"/>
        </w:rPr>
        <w:t xml:space="preserve">  总  价</w:t>
      </w:r>
    </w:p>
    <w:p w14:paraId="57DAB3C2">
      <w:pPr>
        <w:spacing w:line="360" w:lineRule="auto"/>
        <w:rPr>
          <w:rFonts w:hint="eastAsia" w:ascii="宋体" w:hAnsi="宋体" w:eastAsia="宋体" w:cs="宋体"/>
          <w:highlight w:val="none"/>
        </w:rPr>
      </w:pPr>
    </w:p>
    <w:p w14:paraId="653FE9FA">
      <w:pPr>
        <w:spacing w:line="360" w:lineRule="auto"/>
        <w:rPr>
          <w:rFonts w:hint="eastAsia" w:ascii="宋体" w:hAnsi="宋体" w:eastAsia="宋体" w:cs="宋体"/>
          <w:highlight w:val="none"/>
        </w:rPr>
      </w:pPr>
    </w:p>
    <w:p w14:paraId="4E9FD30A">
      <w:pPr>
        <w:spacing w:line="360" w:lineRule="auto"/>
        <w:ind w:firstLine="602" w:firstLineChars="200"/>
        <w:rPr>
          <w:rFonts w:hint="eastAsia" w:ascii="宋体" w:hAnsi="宋体" w:eastAsia="宋体" w:cs="宋体"/>
          <w:b/>
          <w:sz w:val="30"/>
          <w:szCs w:val="30"/>
          <w:highlight w:val="none"/>
          <w:u w:val="single"/>
        </w:rPr>
      </w:pPr>
      <w:r>
        <w:rPr>
          <w:rFonts w:hint="eastAsia" w:ascii="宋体" w:hAnsi="宋体" w:cs="宋体"/>
          <w:b/>
          <w:sz w:val="30"/>
          <w:szCs w:val="30"/>
          <w:highlight w:val="none"/>
          <w:lang w:val="en-US" w:eastAsia="zh-CN"/>
        </w:rPr>
        <w:t>采</w:t>
      </w:r>
      <w:r>
        <w:rPr>
          <w:rFonts w:hint="eastAsia" w:ascii="宋体" w:hAnsi="宋体" w:eastAsia="宋体" w:cs="宋体"/>
          <w:b/>
          <w:sz w:val="30"/>
          <w:szCs w:val="30"/>
          <w:highlight w:val="none"/>
        </w:rPr>
        <w:t xml:space="preserve">   </w:t>
      </w:r>
      <w:r>
        <w:rPr>
          <w:rFonts w:hint="eastAsia" w:ascii="宋体" w:hAnsi="宋体" w:cs="宋体"/>
          <w:b/>
          <w:sz w:val="30"/>
          <w:szCs w:val="30"/>
          <w:highlight w:val="none"/>
          <w:lang w:val="en-US" w:eastAsia="zh-CN"/>
        </w:rPr>
        <w:t>购</w:t>
      </w:r>
      <w:r>
        <w:rPr>
          <w:rFonts w:hint="eastAsia" w:ascii="宋体" w:hAnsi="宋体" w:eastAsia="宋体" w:cs="宋体"/>
          <w:b/>
          <w:sz w:val="30"/>
          <w:szCs w:val="30"/>
          <w:highlight w:val="none"/>
        </w:rPr>
        <w:t xml:space="preserve">  人：</w:t>
      </w:r>
      <w:r>
        <w:rPr>
          <w:rFonts w:hint="eastAsia" w:ascii="宋体" w:hAnsi="宋体" w:eastAsia="宋体" w:cs="宋体"/>
          <w:b/>
          <w:sz w:val="30"/>
          <w:szCs w:val="30"/>
          <w:highlight w:val="none"/>
          <w:u w:val="single"/>
        </w:rPr>
        <w:t xml:space="preserve">                                 </w:t>
      </w:r>
    </w:p>
    <w:p w14:paraId="5BFB42CD">
      <w:pPr>
        <w:spacing w:line="360" w:lineRule="auto"/>
        <w:ind w:firstLine="600" w:firstLineChars="200"/>
        <w:rPr>
          <w:rFonts w:hint="eastAsia" w:ascii="宋体" w:hAnsi="宋体" w:eastAsia="宋体" w:cs="宋体"/>
          <w:sz w:val="30"/>
          <w:szCs w:val="30"/>
          <w:highlight w:val="none"/>
        </w:rPr>
      </w:pPr>
    </w:p>
    <w:p w14:paraId="1FD13A2E">
      <w:pPr>
        <w:spacing w:line="360" w:lineRule="auto"/>
        <w:ind w:firstLine="602" w:firstLineChars="200"/>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rPr>
        <w:t>工 程 名 称：</w:t>
      </w:r>
      <w:r>
        <w:rPr>
          <w:rFonts w:hint="eastAsia" w:ascii="宋体" w:hAnsi="宋体" w:eastAsia="宋体" w:cs="宋体"/>
          <w:b/>
          <w:sz w:val="30"/>
          <w:szCs w:val="30"/>
          <w:highlight w:val="none"/>
          <w:u w:val="single"/>
        </w:rPr>
        <w:t xml:space="preserve">                                 </w:t>
      </w:r>
    </w:p>
    <w:p w14:paraId="4AB1E035">
      <w:pPr>
        <w:spacing w:line="360" w:lineRule="auto"/>
        <w:ind w:firstLine="600" w:firstLineChars="200"/>
        <w:rPr>
          <w:rFonts w:hint="eastAsia" w:ascii="宋体" w:hAnsi="宋体" w:eastAsia="宋体" w:cs="宋体"/>
          <w:sz w:val="30"/>
          <w:szCs w:val="30"/>
          <w:highlight w:val="none"/>
        </w:rPr>
      </w:pPr>
    </w:p>
    <w:p w14:paraId="4A22635F">
      <w:pPr>
        <w:spacing w:line="360" w:lineRule="auto"/>
        <w:ind w:firstLine="602" w:firstLineChars="200"/>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lang w:eastAsia="zh-CN"/>
        </w:rPr>
        <w:t>谈判总价</w:t>
      </w:r>
      <w:r>
        <w:rPr>
          <w:rFonts w:hint="eastAsia" w:ascii="宋体" w:hAnsi="宋体" w:eastAsia="宋体" w:cs="宋体"/>
          <w:b/>
          <w:sz w:val="30"/>
          <w:szCs w:val="30"/>
          <w:highlight w:val="none"/>
        </w:rPr>
        <w:t>（小写）：</w:t>
      </w:r>
      <w:r>
        <w:rPr>
          <w:rFonts w:hint="eastAsia" w:ascii="宋体" w:hAnsi="宋体" w:eastAsia="宋体" w:cs="宋体"/>
          <w:b/>
          <w:sz w:val="30"/>
          <w:szCs w:val="30"/>
          <w:highlight w:val="none"/>
          <w:u w:val="single"/>
        </w:rPr>
        <w:t xml:space="preserve">                            </w:t>
      </w:r>
    </w:p>
    <w:p w14:paraId="1383DE03">
      <w:pPr>
        <w:spacing w:line="360" w:lineRule="auto"/>
        <w:ind w:firstLine="1807" w:firstLineChars="600"/>
        <w:rPr>
          <w:rFonts w:hint="eastAsia" w:ascii="宋体" w:hAnsi="宋体" w:eastAsia="宋体" w:cs="宋体"/>
          <w:sz w:val="30"/>
          <w:szCs w:val="30"/>
          <w:highlight w:val="none"/>
          <w:u w:val="single"/>
        </w:rPr>
      </w:pPr>
      <w:r>
        <w:rPr>
          <w:rFonts w:hint="eastAsia" w:ascii="宋体" w:hAnsi="宋体" w:eastAsia="宋体" w:cs="宋体"/>
          <w:b/>
          <w:sz w:val="30"/>
          <w:szCs w:val="30"/>
          <w:highlight w:val="none"/>
        </w:rPr>
        <w:t>（大写）：</w:t>
      </w:r>
      <w:r>
        <w:rPr>
          <w:rFonts w:hint="eastAsia" w:ascii="宋体" w:hAnsi="宋体" w:eastAsia="宋体" w:cs="宋体"/>
          <w:sz w:val="30"/>
          <w:szCs w:val="30"/>
          <w:highlight w:val="none"/>
          <w:u w:val="single"/>
        </w:rPr>
        <w:t xml:space="preserve">                            </w:t>
      </w:r>
    </w:p>
    <w:p w14:paraId="1B115D44">
      <w:pPr>
        <w:spacing w:line="360" w:lineRule="auto"/>
        <w:rPr>
          <w:rFonts w:hint="eastAsia" w:ascii="宋体" w:hAnsi="宋体" w:eastAsia="宋体" w:cs="宋体"/>
          <w:sz w:val="30"/>
          <w:szCs w:val="30"/>
          <w:highlight w:val="none"/>
        </w:rPr>
      </w:pPr>
    </w:p>
    <w:p w14:paraId="799C13CF">
      <w:pPr>
        <w:spacing w:line="360" w:lineRule="auto"/>
        <w:ind w:firstLine="602" w:firstLineChars="200"/>
        <w:rPr>
          <w:rFonts w:hint="eastAsia" w:ascii="宋体" w:hAnsi="宋体" w:eastAsia="宋体" w:cs="宋体"/>
          <w:szCs w:val="21"/>
          <w:highlight w:val="none"/>
        </w:rPr>
      </w:pPr>
      <w:r>
        <w:rPr>
          <w:rFonts w:hint="eastAsia" w:ascii="宋体" w:hAnsi="宋体" w:cs="宋体"/>
          <w:b/>
          <w:sz w:val="30"/>
          <w:szCs w:val="30"/>
          <w:highlight w:val="none"/>
          <w:lang w:val="en-US" w:eastAsia="zh-CN"/>
        </w:rPr>
        <w:t>供</w:t>
      </w:r>
      <w:r>
        <w:rPr>
          <w:rFonts w:hint="eastAsia" w:ascii="宋体" w:hAnsi="宋体" w:eastAsia="宋体" w:cs="宋体"/>
          <w:b/>
          <w:sz w:val="30"/>
          <w:szCs w:val="30"/>
          <w:highlight w:val="none"/>
        </w:rPr>
        <w:t xml:space="preserve"> </w:t>
      </w:r>
      <w:r>
        <w:rPr>
          <w:rFonts w:hint="eastAsia" w:ascii="宋体" w:hAnsi="宋体" w:cs="宋体"/>
          <w:b/>
          <w:sz w:val="30"/>
          <w:szCs w:val="30"/>
          <w:highlight w:val="none"/>
          <w:lang w:val="en-US" w:eastAsia="zh-CN"/>
        </w:rPr>
        <w:t>应</w:t>
      </w:r>
      <w:r>
        <w:rPr>
          <w:rFonts w:hint="eastAsia" w:ascii="宋体" w:hAnsi="宋体" w:eastAsia="宋体" w:cs="宋体"/>
          <w:b/>
          <w:sz w:val="30"/>
          <w:szCs w:val="30"/>
          <w:highlight w:val="none"/>
        </w:rPr>
        <w:t xml:space="preserve"> </w:t>
      </w:r>
      <w:r>
        <w:rPr>
          <w:rFonts w:hint="eastAsia" w:ascii="宋体" w:hAnsi="宋体" w:cs="宋体"/>
          <w:b/>
          <w:sz w:val="30"/>
          <w:szCs w:val="30"/>
          <w:highlight w:val="none"/>
          <w:lang w:val="en-US" w:eastAsia="zh-CN"/>
        </w:rPr>
        <w:t>商</w:t>
      </w:r>
      <w:r>
        <w:rPr>
          <w:rFonts w:hint="eastAsia" w:ascii="宋体" w:hAnsi="宋体" w:eastAsia="宋体" w:cs="宋体"/>
          <w:b/>
          <w:sz w:val="30"/>
          <w:szCs w:val="30"/>
          <w:highlight w:val="none"/>
        </w:rPr>
        <w:t>：</w:t>
      </w:r>
      <w:r>
        <w:rPr>
          <w:rFonts w:hint="eastAsia" w:ascii="宋体" w:hAnsi="宋体" w:eastAsia="宋体" w:cs="宋体"/>
          <w:sz w:val="30"/>
          <w:szCs w:val="30"/>
          <w:highlight w:val="none"/>
          <w:u w:val="single"/>
        </w:rPr>
        <w:t xml:space="preserve">                            </w:t>
      </w:r>
      <w:r>
        <w:rPr>
          <w:rFonts w:hint="eastAsia" w:ascii="宋体" w:hAnsi="宋体" w:eastAsia="宋体" w:cs="宋体"/>
          <w:szCs w:val="21"/>
          <w:highlight w:val="none"/>
        </w:rPr>
        <w:t>（单位盖公章）</w:t>
      </w:r>
    </w:p>
    <w:p w14:paraId="4CC8F62A">
      <w:pPr>
        <w:spacing w:line="360" w:lineRule="auto"/>
        <w:rPr>
          <w:rFonts w:hint="eastAsia" w:ascii="宋体" w:hAnsi="宋体" w:eastAsia="宋体" w:cs="宋体"/>
          <w:sz w:val="30"/>
          <w:szCs w:val="30"/>
          <w:highlight w:val="none"/>
        </w:rPr>
      </w:pPr>
    </w:p>
    <w:p w14:paraId="462EFFB0">
      <w:pPr>
        <w:spacing w:line="360" w:lineRule="auto"/>
        <w:ind w:firstLine="602" w:firstLineChars="200"/>
        <w:rPr>
          <w:rFonts w:hint="eastAsia" w:ascii="宋体" w:hAnsi="宋体" w:eastAsia="宋体" w:cs="宋体"/>
          <w:b/>
          <w:sz w:val="30"/>
          <w:szCs w:val="30"/>
          <w:highlight w:val="none"/>
        </w:rPr>
      </w:pPr>
      <w:r>
        <w:rPr>
          <w:rFonts w:hint="eastAsia" w:ascii="宋体" w:hAnsi="宋体" w:eastAsia="宋体" w:cs="宋体"/>
          <w:b/>
          <w:sz w:val="30"/>
          <w:szCs w:val="30"/>
          <w:highlight w:val="none"/>
        </w:rPr>
        <w:t>法定代表人</w:t>
      </w:r>
    </w:p>
    <w:p w14:paraId="5A3FFFD2">
      <w:pPr>
        <w:spacing w:line="360" w:lineRule="auto"/>
        <w:ind w:firstLine="602" w:firstLineChars="200"/>
        <w:rPr>
          <w:rFonts w:hint="eastAsia" w:ascii="宋体" w:hAnsi="宋体" w:eastAsia="宋体" w:cs="宋体"/>
          <w:szCs w:val="21"/>
          <w:highlight w:val="none"/>
        </w:rPr>
      </w:pPr>
      <w:r>
        <w:rPr>
          <w:rFonts w:hint="eastAsia" w:ascii="宋体" w:hAnsi="宋体" w:eastAsia="宋体" w:cs="宋体"/>
          <w:b/>
          <w:sz w:val="30"/>
          <w:szCs w:val="30"/>
          <w:highlight w:val="none"/>
        </w:rPr>
        <w:t>或其代理人：</w:t>
      </w:r>
      <w:r>
        <w:rPr>
          <w:rFonts w:hint="eastAsia" w:ascii="宋体" w:hAnsi="宋体" w:eastAsia="宋体" w:cs="宋体"/>
          <w:sz w:val="30"/>
          <w:szCs w:val="30"/>
          <w:highlight w:val="none"/>
          <w:u w:val="single"/>
        </w:rPr>
        <w:t xml:space="preserve">                         </w:t>
      </w:r>
      <w:r>
        <w:rPr>
          <w:rFonts w:hint="eastAsia" w:ascii="宋体" w:hAnsi="宋体" w:eastAsia="宋体" w:cs="宋体"/>
          <w:szCs w:val="21"/>
          <w:highlight w:val="none"/>
        </w:rPr>
        <w:t xml:space="preserve"> （签字或盖公章）</w:t>
      </w:r>
    </w:p>
    <w:p w14:paraId="204BD9E3">
      <w:pPr>
        <w:spacing w:line="360" w:lineRule="auto"/>
        <w:rPr>
          <w:rFonts w:hint="eastAsia" w:ascii="宋体" w:hAnsi="宋体" w:eastAsia="宋体" w:cs="宋体"/>
          <w:sz w:val="30"/>
          <w:szCs w:val="30"/>
          <w:highlight w:val="none"/>
        </w:rPr>
      </w:pPr>
    </w:p>
    <w:p w14:paraId="316E9D26">
      <w:pPr>
        <w:spacing w:line="360" w:lineRule="auto"/>
        <w:rPr>
          <w:rFonts w:hint="eastAsia" w:ascii="宋体" w:hAnsi="宋体" w:eastAsia="宋体" w:cs="宋体"/>
          <w:sz w:val="30"/>
          <w:szCs w:val="30"/>
          <w:highlight w:val="none"/>
        </w:rPr>
      </w:pPr>
    </w:p>
    <w:p w14:paraId="2048F655">
      <w:pPr>
        <w:spacing w:line="360" w:lineRule="auto"/>
        <w:ind w:firstLine="602" w:firstLineChars="200"/>
        <w:rPr>
          <w:rFonts w:hint="eastAsia" w:ascii="宋体" w:hAnsi="宋体" w:eastAsia="宋体" w:cs="宋体"/>
          <w:szCs w:val="21"/>
          <w:highlight w:val="none"/>
        </w:rPr>
      </w:pPr>
      <w:r>
        <w:rPr>
          <w:rFonts w:hint="eastAsia" w:ascii="宋体" w:hAnsi="宋体" w:eastAsia="宋体" w:cs="宋体"/>
          <w:b/>
          <w:sz w:val="30"/>
          <w:szCs w:val="30"/>
          <w:highlight w:val="none"/>
        </w:rPr>
        <w:t>编  制  人：</w:t>
      </w:r>
      <w:r>
        <w:rPr>
          <w:rFonts w:hint="eastAsia" w:ascii="宋体" w:hAnsi="宋体" w:eastAsia="宋体" w:cs="宋体"/>
          <w:sz w:val="30"/>
          <w:szCs w:val="30"/>
          <w:highlight w:val="none"/>
          <w:u w:val="single"/>
        </w:rPr>
        <w:t xml:space="preserve">                   </w:t>
      </w:r>
      <w:r>
        <w:rPr>
          <w:rFonts w:hint="eastAsia" w:ascii="宋体" w:hAnsi="宋体" w:eastAsia="宋体" w:cs="宋体"/>
          <w:szCs w:val="21"/>
          <w:highlight w:val="none"/>
        </w:rPr>
        <w:t>（造价人员签字或盖专用章）</w:t>
      </w:r>
    </w:p>
    <w:p w14:paraId="1AFA4EB1">
      <w:pPr>
        <w:spacing w:line="360" w:lineRule="auto"/>
        <w:rPr>
          <w:rFonts w:hint="eastAsia" w:ascii="宋体" w:hAnsi="宋体" w:eastAsia="宋体" w:cs="宋体"/>
          <w:sz w:val="30"/>
          <w:szCs w:val="30"/>
          <w:highlight w:val="none"/>
        </w:rPr>
      </w:pPr>
    </w:p>
    <w:p w14:paraId="3D79805D">
      <w:pPr>
        <w:spacing w:line="360" w:lineRule="auto"/>
        <w:rPr>
          <w:rFonts w:hint="eastAsia" w:ascii="宋体" w:hAnsi="宋体" w:eastAsia="宋体" w:cs="宋体"/>
          <w:sz w:val="30"/>
          <w:szCs w:val="30"/>
          <w:highlight w:val="none"/>
        </w:rPr>
      </w:pPr>
    </w:p>
    <w:p w14:paraId="6260D63F">
      <w:pPr>
        <w:spacing w:line="360" w:lineRule="auto"/>
        <w:ind w:firstLine="602" w:firstLineChars="200"/>
        <w:rPr>
          <w:rFonts w:hint="eastAsia" w:ascii="宋体" w:hAnsi="宋体" w:eastAsia="宋体" w:cs="宋体"/>
          <w:b/>
          <w:sz w:val="30"/>
          <w:szCs w:val="30"/>
          <w:highlight w:val="none"/>
        </w:rPr>
      </w:pPr>
      <w:r>
        <w:rPr>
          <w:rFonts w:hint="eastAsia" w:ascii="宋体" w:hAnsi="宋体" w:eastAsia="宋体" w:cs="宋体"/>
          <w:b/>
          <w:sz w:val="30"/>
          <w:szCs w:val="30"/>
          <w:highlight w:val="none"/>
        </w:rPr>
        <w:t>编 制 时 间：</w:t>
      </w:r>
    </w:p>
    <w:p w14:paraId="10D27C7F">
      <w:pPr>
        <w:widowControl/>
        <w:snapToGrid w:val="0"/>
        <w:spacing w:line="360" w:lineRule="auto"/>
        <w:ind w:firstLine="4620" w:firstLineChars="2200"/>
        <w:rPr>
          <w:rFonts w:hint="eastAsia" w:ascii="宋体" w:hAnsi="宋体" w:eastAsia="宋体" w:cs="宋体"/>
          <w:kern w:val="0"/>
          <w:szCs w:val="21"/>
          <w:highlight w:val="none"/>
        </w:rPr>
        <w:sectPr>
          <w:pgSz w:w="11907" w:h="16839"/>
          <w:pgMar w:top="1440" w:right="1800" w:bottom="1440" w:left="1800" w:header="851" w:footer="992" w:gutter="0"/>
          <w:pgNumType w:chapStyle="1"/>
          <w:cols w:space="720" w:num="1"/>
          <w:docGrid w:type="lines" w:linePitch="312" w:charSpace="0"/>
        </w:sectPr>
      </w:pPr>
    </w:p>
    <w:p w14:paraId="58655098">
      <w:pPr>
        <w:spacing w:line="360" w:lineRule="auto"/>
        <w:outlineLvl w:val="0"/>
        <w:rPr>
          <w:rFonts w:hint="eastAsia" w:ascii="宋体" w:hAnsi="宋体" w:eastAsia="宋体" w:cs="宋体"/>
          <w:sz w:val="28"/>
          <w:highlight w:val="none"/>
        </w:rPr>
      </w:pPr>
      <w:r>
        <w:rPr>
          <w:rFonts w:hint="eastAsia" w:ascii="宋体" w:hAnsi="宋体" w:eastAsia="宋体" w:cs="宋体"/>
          <w:b/>
          <w:sz w:val="28"/>
          <w:szCs w:val="22"/>
          <w:highlight w:val="none"/>
        </w:rPr>
        <w:t>附件</w:t>
      </w:r>
      <w:r>
        <w:rPr>
          <w:rFonts w:hint="eastAsia" w:ascii="宋体" w:hAnsi="宋体" w:eastAsia="宋体" w:cs="宋体"/>
          <w:b/>
          <w:sz w:val="28"/>
          <w:szCs w:val="22"/>
          <w:highlight w:val="none"/>
          <w:lang w:val="en-US" w:eastAsia="zh-CN"/>
        </w:rPr>
        <w:t>6</w:t>
      </w:r>
      <w:r>
        <w:rPr>
          <w:rFonts w:hint="eastAsia" w:ascii="宋体" w:hAnsi="宋体" w:eastAsia="宋体" w:cs="宋体"/>
          <w:b/>
          <w:sz w:val="28"/>
          <w:szCs w:val="22"/>
          <w:highlight w:val="none"/>
        </w:rPr>
        <w:t>：质量保证、服务承诺书</w:t>
      </w:r>
      <w:bookmarkEnd w:id="22"/>
    </w:p>
    <w:p w14:paraId="241D1FC0">
      <w:pPr>
        <w:tabs>
          <w:tab w:val="left" w:pos="432"/>
        </w:tabs>
        <w:spacing w:line="480" w:lineRule="exact"/>
        <w:jc w:val="center"/>
        <w:rPr>
          <w:rFonts w:hint="eastAsia" w:ascii="宋体" w:hAnsi="宋体" w:eastAsia="宋体" w:cs="宋体"/>
          <w:b/>
          <w:sz w:val="24"/>
          <w:highlight w:val="none"/>
        </w:rPr>
      </w:pPr>
      <w:r>
        <w:rPr>
          <w:rFonts w:hint="eastAsia" w:ascii="宋体" w:hAnsi="宋体" w:eastAsia="宋体" w:cs="宋体"/>
          <w:b/>
          <w:sz w:val="24"/>
          <w:highlight w:val="none"/>
        </w:rPr>
        <w:t>质量保证、服务承诺书</w:t>
      </w:r>
    </w:p>
    <w:p w14:paraId="61BD0AB7">
      <w:pPr>
        <w:spacing w:line="360" w:lineRule="auto"/>
        <w:rPr>
          <w:rFonts w:hint="eastAsia" w:ascii="宋体" w:hAnsi="宋体" w:eastAsia="宋体" w:cs="宋体"/>
          <w:sz w:val="24"/>
          <w:highlight w:val="none"/>
        </w:rPr>
      </w:pPr>
    </w:p>
    <w:p w14:paraId="0CCDAB74">
      <w:pPr>
        <w:spacing w:line="360" w:lineRule="auto"/>
        <w:rPr>
          <w:rFonts w:hint="eastAsia" w:ascii="宋体" w:hAnsi="宋体" w:eastAsia="宋体" w:cs="宋体"/>
          <w:sz w:val="24"/>
          <w:highlight w:val="none"/>
        </w:rPr>
      </w:pPr>
    </w:p>
    <w:p w14:paraId="3DFAA268">
      <w:pPr>
        <w:spacing w:line="360" w:lineRule="auto"/>
        <w:rPr>
          <w:rFonts w:hint="eastAsia" w:ascii="宋体" w:hAnsi="宋体" w:eastAsia="宋体" w:cs="宋体"/>
          <w:sz w:val="24"/>
          <w:highlight w:val="none"/>
        </w:rPr>
      </w:pPr>
      <w:r>
        <w:rPr>
          <w:rFonts w:hint="eastAsia" w:ascii="宋体" w:hAnsi="宋体" w:eastAsia="宋体" w:cs="宋体"/>
          <w:sz w:val="24"/>
          <w:highlight w:val="none"/>
        </w:rPr>
        <w:t>质量保证：</w:t>
      </w:r>
    </w:p>
    <w:p w14:paraId="20D364D6">
      <w:pPr>
        <w:spacing w:line="360" w:lineRule="auto"/>
        <w:rPr>
          <w:rFonts w:hint="eastAsia" w:ascii="宋体" w:hAnsi="宋体" w:eastAsia="宋体" w:cs="宋体"/>
          <w:sz w:val="24"/>
          <w:highlight w:val="none"/>
        </w:rPr>
      </w:pPr>
    </w:p>
    <w:p w14:paraId="15CD0CDA">
      <w:pPr>
        <w:pStyle w:val="26"/>
        <w:ind w:firstLine="0"/>
        <w:rPr>
          <w:rFonts w:hint="eastAsia" w:ascii="宋体" w:hAnsi="宋体" w:eastAsia="宋体" w:cs="宋体"/>
          <w:sz w:val="24"/>
          <w:highlight w:val="none"/>
        </w:rPr>
      </w:pPr>
    </w:p>
    <w:p w14:paraId="2B72F743">
      <w:pPr>
        <w:rPr>
          <w:rFonts w:hint="eastAsia" w:ascii="宋体" w:hAnsi="宋体" w:eastAsia="宋体" w:cs="宋体"/>
          <w:sz w:val="24"/>
          <w:highlight w:val="none"/>
        </w:rPr>
      </w:pPr>
    </w:p>
    <w:p w14:paraId="4466B9C0">
      <w:pPr>
        <w:pStyle w:val="26"/>
        <w:rPr>
          <w:rFonts w:hint="eastAsia" w:ascii="宋体" w:hAnsi="宋体" w:eastAsia="宋体" w:cs="宋体"/>
          <w:highlight w:val="none"/>
        </w:rPr>
      </w:pPr>
    </w:p>
    <w:p w14:paraId="355B05FD">
      <w:pPr>
        <w:rPr>
          <w:rFonts w:hint="eastAsia" w:ascii="宋体" w:hAnsi="宋体" w:eastAsia="宋体" w:cs="宋体"/>
          <w:highlight w:val="none"/>
        </w:rPr>
      </w:pPr>
    </w:p>
    <w:p w14:paraId="4A8E169A">
      <w:pPr>
        <w:pStyle w:val="26"/>
        <w:rPr>
          <w:rFonts w:hint="eastAsia" w:ascii="宋体" w:hAnsi="宋体" w:eastAsia="宋体" w:cs="宋体"/>
          <w:highlight w:val="none"/>
        </w:rPr>
      </w:pPr>
    </w:p>
    <w:p w14:paraId="3FC3AFB6">
      <w:pPr>
        <w:rPr>
          <w:rFonts w:hint="eastAsia" w:ascii="宋体" w:hAnsi="宋体" w:eastAsia="宋体" w:cs="宋体"/>
          <w:highlight w:val="none"/>
        </w:rPr>
      </w:pPr>
    </w:p>
    <w:p w14:paraId="6F79AD15">
      <w:pPr>
        <w:pStyle w:val="26"/>
        <w:rPr>
          <w:rFonts w:hint="eastAsia" w:ascii="宋体" w:hAnsi="宋体" w:eastAsia="宋体" w:cs="宋体"/>
          <w:highlight w:val="none"/>
        </w:rPr>
      </w:pPr>
    </w:p>
    <w:p w14:paraId="313B2026">
      <w:pPr>
        <w:rPr>
          <w:rFonts w:hint="eastAsia" w:ascii="宋体" w:hAnsi="宋体" w:eastAsia="宋体" w:cs="宋体"/>
          <w:highlight w:val="none"/>
        </w:rPr>
      </w:pPr>
    </w:p>
    <w:p w14:paraId="74D2F5D6">
      <w:pPr>
        <w:pStyle w:val="26"/>
        <w:rPr>
          <w:rFonts w:hint="eastAsia" w:ascii="宋体" w:hAnsi="宋体" w:eastAsia="宋体" w:cs="宋体"/>
          <w:highlight w:val="none"/>
        </w:rPr>
      </w:pPr>
    </w:p>
    <w:p w14:paraId="242D441B">
      <w:pPr>
        <w:rPr>
          <w:rFonts w:hint="eastAsia" w:ascii="宋体" w:hAnsi="宋体" w:eastAsia="宋体" w:cs="宋体"/>
          <w:highlight w:val="none"/>
        </w:rPr>
      </w:pPr>
    </w:p>
    <w:p w14:paraId="6E0CB0D9">
      <w:pPr>
        <w:rPr>
          <w:rFonts w:hint="eastAsia" w:ascii="宋体" w:hAnsi="宋体" w:eastAsia="宋体" w:cs="宋体"/>
          <w:highlight w:val="none"/>
        </w:rPr>
      </w:pPr>
    </w:p>
    <w:p w14:paraId="65DFFA89">
      <w:pPr>
        <w:spacing w:line="360" w:lineRule="auto"/>
        <w:rPr>
          <w:rFonts w:hint="eastAsia" w:ascii="宋体" w:hAnsi="宋体" w:eastAsia="宋体" w:cs="宋体"/>
          <w:sz w:val="24"/>
          <w:highlight w:val="none"/>
        </w:rPr>
      </w:pPr>
      <w:r>
        <w:rPr>
          <w:rFonts w:hint="eastAsia" w:ascii="宋体" w:hAnsi="宋体" w:eastAsia="宋体" w:cs="宋体"/>
          <w:sz w:val="24"/>
          <w:highlight w:val="none"/>
        </w:rPr>
        <w:t>服务承诺：</w:t>
      </w:r>
    </w:p>
    <w:p w14:paraId="55A1012B">
      <w:pPr>
        <w:pStyle w:val="26"/>
        <w:rPr>
          <w:rFonts w:hint="eastAsia" w:ascii="宋体" w:hAnsi="宋体" w:eastAsia="宋体" w:cs="宋体"/>
          <w:sz w:val="24"/>
          <w:highlight w:val="none"/>
        </w:rPr>
      </w:pPr>
    </w:p>
    <w:p w14:paraId="18514EB4">
      <w:pPr>
        <w:rPr>
          <w:rFonts w:hint="eastAsia" w:ascii="宋体" w:hAnsi="宋体" w:eastAsia="宋体" w:cs="宋体"/>
          <w:sz w:val="24"/>
          <w:highlight w:val="none"/>
        </w:rPr>
      </w:pPr>
    </w:p>
    <w:p w14:paraId="277150E5">
      <w:pPr>
        <w:pStyle w:val="26"/>
        <w:rPr>
          <w:rFonts w:hint="eastAsia" w:ascii="宋体" w:hAnsi="宋体" w:eastAsia="宋体" w:cs="宋体"/>
          <w:highlight w:val="none"/>
        </w:rPr>
      </w:pPr>
    </w:p>
    <w:p w14:paraId="1DE9217F">
      <w:pPr>
        <w:pStyle w:val="26"/>
        <w:rPr>
          <w:rFonts w:hint="eastAsia" w:ascii="宋体" w:hAnsi="宋体" w:eastAsia="宋体" w:cs="宋体"/>
          <w:sz w:val="24"/>
          <w:highlight w:val="none"/>
        </w:rPr>
      </w:pPr>
    </w:p>
    <w:p w14:paraId="24F85EFF">
      <w:pPr>
        <w:rPr>
          <w:rFonts w:hint="eastAsia" w:ascii="宋体" w:hAnsi="宋体" w:eastAsia="宋体" w:cs="宋体"/>
          <w:sz w:val="24"/>
          <w:highlight w:val="none"/>
        </w:rPr>
      </w:pPr>
    </w:p>
    <w:p w14:paraId="0CD0867A">
      <w:pPr>
        <w:pStyle w:val="26"/>
        <w:rPr>
          <w:rFonts w:hint="eastAsia" w:ascii="宋体" w:hAnsi="宋体" w:eastAsia="宋体" w:cs="宋体"/>
          <w:highlight w:val="none"/>
        </w:rPr>
      </w:pPr>
    </w:p>
    <w:p w14:paraId="5BE0E3C2">
      <w:pPr>
        <w:pStyle w:val="26"/>
        <w:rPr>
          <w:rFonts w:hint="eastAsia" w:ascii="宋体" w:hAnsi="宋体" w:eastAsia="宋体" w:cs="宋体"/>
          <w:sz w:val="24"/>
          <w:highlight w:val="none"/>
        </w:rPr>
      </w:pPr>
    </w:p>
    <w:p w14:paraId="79FAEC8B">
      <w:pPr>
        <w:pStyle w:val="26"/>
        <w:ind w:left="4410" w:leftChars="2100"/>
        <w:rPr>
          <w:rFonts w:hint="eastAsia" w:ascii="宋体" w:hAnsi="宋体" w:eastAsia="宋体" w:cs="宋体"/>
          <w:szCs w:val="21"/>
          <w:highlight w:val="none"/>
        </w:rPr>
      </w:pPr>
      <w:r>
        <w:rPr>
          <w:rFonts w:hint="eastAsia" w:ascii="宋体" w:hAnsi="宋体" w:eastAsia="宋体" w:cs="宋体"/>
          <w:szCs w:val="21"/>
          <w:highlight w:val="none"/>
        </w:rPr>
        <w:t xml:space="preserve">供应商（盖章）：                    </w:t>
      </w:r>
    </w:p>
    <w:p w14:paraId="24E1CD0E">
      <w:pPr>
        <w:pStyle w:val="26"/>
        <w:ind w:left="4410" w:leftChars="2100"/>
        <w:rPr>
          <w:rFonts w:hint="eastAsia" w:ascii="宋体" w:hAnsi="宋体" w:eastAsia="宋体" w:cs="宋体"/>
          <w:szCs w:val="21"/>
          <w:highlight w:val="none"/>
        </w:rPr>
      </w:pPr>
    </w:p>
    <w:p w14:paraId="2A87342E">
      <w:pPr>
        <w:pStyle w:val="26"/>
        <w:ind w:left="4410" w:leftChars="2100"/>
        <w:rPr>
          <w:rFonts w:hint="eastAsia" w:ascii="宋体" w:hAnsi="宋体" w:eastAsia="宋体" w:cs="宋体"/>
          <w:szCs w:val="21"/>
          <w:highlight w:val="none"/>
        </w:rPr>
      </w:pPr>
    </w:p>
    <w:p w14:paraId="59A1D668">
      <w:pPr>
        <w:pStyle w:val="26"/>
        <w:ind w:left="4410" w:leftChars="2100"/>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14:paraId="223F96F4">
      <w:pPr>
        <w:pStyle w:val="26"/>
        <w:ind w:left="4410" w:leftChars="2100"/>
        <w:rPr>
          <w:rFonts w:hint="eastAsia" w:ascii="宋体" w:hAnsi="宋体" w:eastAsia="宋体" w:cs="宋体"/>
          <w:szCs w:val="21"/>
          <w:highlight w:val="none"/>
        </w:rPr>
      </w:pPr>
    </w:p>
    <w:p w14:paraId="56762986">
      <w:pPr>
        <w:pStyle w:val="26"/>
        <w:ind w:left="4410" w:leftChars="2100"/>
        <w:rPr>
          <w:rFonts w:hint="eastAsia" w:ascii="宋体" w:hAnsi="宋体" w:eastAsia="宋体" w:cs="宋体"/>
          <w:szCs w:val="21"/>
          <w:highlight w:val="none"/>
        </w:rPr>
      </w:pPr>
    </w:p>
    <w:p w14:paraId="62E71B9C">
      <w:pPr>
        <w:pStyle w:val="26"/>
        <w:ind w:left="4410" w:leftChars="2100"/>
        <w:rPr>
          <w:rFonts w:hint="eastAsia" w:ascii="宋体" w:hAnsi="宋体" w:eastAsia="宋体" w:cs="宋体"/>
          <w:szCs w:val="21"/>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szCs w:val="21"/>
          <w:highlight w:val="none"/>
        </w:rPr>
        <w:t>日期：      年  月   日</w:t>
      </w:r>
    </w:p>
    <w:p w14:paraId="5771B2B2">
      <w:pPr>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7</w:t>
      </w:r>
      <w:r>
        <w:rPr>
          <w:rFonts w:hint="eastAsia" w:ascii="宋体" w:hAnsi="宋体" w:eastAsia="宋体" w:cs="宋体"/>
          <w:b/>
          <w:sz w:val="28"/>
          <w:szCs w:val="28"/>
          <w:highlight w:val="none"/>
        </w:rPr>
        <w:t>：偏离表</w:t>
      </w:r>
      <w:bookmarkEnd w:id="21"/>
    </w:p>
    <w:p w14:paraId="6D110A4B">
      <w:pPr>
        <w:pStyle w:val="70"/>
        <w:spacing w:line="36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偏 离 表</w:t>
      </w:r>
    </w:p>
    <w:p w14:paraId="2EA20BB5">
      <w:pPr>
        <w:rPr>
          <w:rFonts w:hint="eastAsia" w:ascii="宋体" w:hAnsi="宋体" w:eastAsia="宋体" w:cs="宋体"/>
          <w:b/>
          <w:szCs w:val="21"/>
          <w:highlight w:val="none"/>
        </w:rPr>
      </w:pPr>
    </w:p>
    <w:p w14:paraId="3E3D0455">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供应商应对谈判文件中规定的商务及技术部分给予充分的考虑。为了评审的需要，供应商应将这些条款的异议逐条提出或根据以下要求的格式提出偏离。</w:t>
      </w:r>
    </w:p>
    <w:p w14:paraId="79FD013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如无偏离，请在本页上写“无”，并附在响应文件中。      </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0E3C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noWrap w:val="0"/>
            <w:vAlign w:val="center"/>
          </w:tcPr>
          <w:p w14:paraId="579DBDA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章节号</w:t>
            </w:r>
          </w:p>
        </w:tc>
        <w:tc>
          <w:tcPr>
            <w:tcW w:w="2132" w:type="dxa"/>
            <w:noWrap w:val="0"/>
            <w:vAlign w:val="center"/>
          </w:tcPr>
          <w:p w14:paraId="352EE8EF">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的偏离</w:t>
            </w:r>
          </w:p>
        </w:tc>
        <w:tc>
          <w:tcPr>
            <w:tcW w:w="3044" w:type="dxa"/>
            <w:noWrap w:val="0"/>
            <w:vAlign w:val="center"/>
          </w:tcPr>
          <w:p w14:paraId="5DEEB314">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偏离的理由</w:t>
            </w:r>
          </w:p>
        </w:tc>
        <w:tc>
          <w:tcPr>
            <w:tcW w:w="1440" w:type="dxa"/>
            <w:noWrap w:val="0"/>
            <w:vAlign w:val="center"/>
          </w:tcPr>
          <w:p w14:paraId="3A554C3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1224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14:paraId="2FC0E3D2">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2132" w:type="dxa"/>
            <w:noWrap w:val="0"/>
            <w:vAlign w:val="top"/>
          </w:tcPr>
          <w:p w14:paraId="071DD8B0">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3044" w:type="dxa"/>
            <w:noWrap w:val="0"/>
            <w:vAlign w:val="top"/>
          </w:tcPr>
          <w:p w14:paraId="539AE5FC">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40" w:type="dxa"/>
            <w:noWrap w:val="0"/>
            <w:vAlign w:val="top"/>
          </w:tcPr>
          <w:p w14:paraId="10FA0D0E">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14:paraId="602E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14:paraId="05F73CF3">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2132" w:type="dxa"/>
            <w:noWrap w:val="0"/>
            <w:vAlign w:val="top"/>
          </w:tcPr>
          <w:p w14:paraId="77AD2EFA">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3044" w:type="dxa"/>
            <w:noWrap w:val="0"/>
            <w:vAlign w:val="top"/>
          </w:tcPr>
          <w:p w14:paraId="1A3C9863">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40" w:type="dxa"/>
            <w:noWrap w:val="0"/>
            <w:vAlign w:val="top"/>
          </w:tcPr>
          <w:p w14:paraId="0CFA4D5C">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14:paraId="2999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14:paraId="584CDF62">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2132" w:type="dxa"/>
            <w:noWrap w:val="0"/>
            <w:vAlign w:val="top"/>
          </w:tcPr>
          <w:p w14:paraId="2EEE791F">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3044" w:type="dxa"/>
            <w:noWrap w:val="0"/>
            <w:vAlign w:val="top"/>
          </w:tcPr>
          <w:p w14:paraId="49520837">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40" w:type="dxa"/>
            <w:noWrap w:val="0"/>
            <w:vAlign w:val="top"/>
          </w:tcPr>
          <w:p w14:paraId="0F6E31A1">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bl>
    <w:p w14:paraId="3CA07F1A">
      <w:pPr>
        <w:rPr>
          <w:rFonts w:hint="eastAsia" w:ascii="宋体" w:hAnsi="宋体" w:eastAsia="宋体" w:cs="宋体"/>
          <w:szCs w:val="21"/>
          <w:highlight w:val="none"/>
        </w:rPr>
      </w:pPr>
    </w:p>
    <w:p w14:paraId="6B9DE95E">
      <w:pPr>
        <w:rPr>
          <w:rFonts w:hint="eastAsia" w:ascii="宋体" w:hAnsi="宋体" w:eastAsia="宋体" w:cs="宋体"/>
          <w:szCs w:val="21"/>
          <w:highlight w:val="none"/>
        </w:rPr>
      </w:pPr>
      <w:r>
        <w:rPr>
          <w:rFonts w:hint="eastAsia" w:ascii="宋体" w:hAnsi="宋体" w:eastAsia="宋体" w:cs="宋体"/>
          <w:szCs w:val="21"/>
          <w:highlight w:val="none"/>
        </w:rPr>
        <w:t xml:space="preserve">供应商（盖章）：                    </w:t>
      </w:r>
    </w:p>
    <w:p w14:paraId="609671B5">
      <w:pPr>
        <w:rPr>
          <w:rFonts w:hint="eastAsia" w:ascii="宋体" w:hAnsi="宋体" w:eastAsia="宋体" w:cs="宋体"/>
          <w:szCs w:val="21"/>
          <w:highlight w:val="none"/>
        </w:rPr>
      </w:pPr>
    </w:p>
    <w:p w14:paraId="1371A47A">
      <w:pPr>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14:paraId="686E0CF3">
      <w:pPr>
        <w:rPr>
          <w:rFonts w:hint="eastAsia" w:ascii="宋体" w:hAnsi="宋体" w:eastAsia="宋体" w:cs="宋体"/>
          <w:sz w:val="18"/>
          <w:szCs w:val="18"/>
          <w:highlight w:val="none"/>
        </w:rPr>
      </w:pPr>
    </w:p>
    <w:p w14:paraId="69A6FCBA">
      <w:pPr>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430D0130">
      <w:pPr>
        <w:pStyle w:val="5"/>
        <w:overflowPunct w:val="0"/>
        <w:spacing w:line="500" w:lineRule="exact"/>
        <w:ind w:firstLine="0"/>
        <w:outlineLvl w:val="1"/>
        <w:rPr>
          <w:rFonts w:hint="eastAsia" w:ascii="宋体" w:hAnsi="宋体" w:eastAsia="宋体" w:cs="宋体"/>
          <w:b/>
          <w:sz w:val="28"/>
          <w:highlight w:val="none"/>
        </w:rPr>
        <w:sectPr>
          <w:pgSz w:w="11907" w:h="16839"/>
          <w:pgMar w:top="1440" w:right="1800" w:bottom="1440" w:left="1800" w:header="851" w:footer="992" w:gutter="0"/>
          <w:pgNumType w:chapStyle="1"/>
          <w:cols w:space="720" w:num="1"/>
          <w:docGrid w:type="lines" w:linePitch="312" w:charSpace="0"/>
        </w:sectPr>
      </w:pPr>
    </w:p>
    <w:p w14:paraId="7DA64396">
      <w:pPr>
        <w:pStyle w:val="5"/>
        <w:overflowPunct w:val="0"/>
        <w:spacing w:line="500" w:lineRule="exact"/>
        <w:ind w:firstLine="0"/>
        <w:outlineLvl w:val="1"/>
        <w:rPr>
          <w:rFonts w:hint="eastAsia" w:ascii="宋体" w:hAnsi="宋体" w:eastAsia="宋体" w:cs="宋体"/>
          <w:b/>
          <w:color w:val="000000"/>
          <w:sz w:val="28"/>
          <w:highlight w:val="none"/>
        </w:rPr>
      </w:pPr>
      <w:r>
        <w:rPr>
          <w:rFonts w:hint="eastAsia" w:ascii="宋体" w:hAnsi="宋体" w:eastAsia="宋体" w:cs="宋体"/>
          <w:b/>
          <w:sz w:val="28"/>
          <w:highlight w:val="none"/>
        </w:rPr>
        <w:t>附件</w:t>
      </w:r>
      <w:r>
        <w:rPr>
          <w:rFonts w:hint="eastAsia" w:ascii="宋体" w:hAnsi="宋体" w:eastAsia="宋体" w:cs="宋体"/>
          <w:b/>
          <w:color w:val="000000"/>
          <w:sz w:val="28"/>
          <w:highlight w:val="none"/>
          <w:lang w:val="en-US" w:eastAsia="zh-CN"/>
        </w:rPr>
        <w:t>8</w:t>
      </w:r>
      <w:r>
        <w:rPr>
          <w:rFonts w:hint="eastAsia" w:ascii="宋体" w:hAnsi="宋体" w:eastAsia="宋体" w:cs="宋体"/>
          <w:b/>
          <w:color w:val="000000"/>
          <w:sz w:val="28"/>
          <w:highlight w:val="none"/>
        </w:rPr>
        <w:t>：承诺函</w:t>
      </w:r>
    </w:p>
    <w:p w14:paraId="48B34E4A">
      <w:pPr>
        <w:pStyle w:val="5"/>
        <w:overflowPunct w:val="0"/>
        <w:spacing w:line="500" w:lineRule="exact"/>
        <w:jc w:val="center"/>
        <w:rPr>
          <w:rFonts w:hint="eastAsia" w:ascii="宋体" w:hAnsi="宋体" w:eastAsia="宋体" w:cs="宋体"/>
          <w:b/>
          <w:color w:val="000000"/>
          <w:sz w:val="30"/>
          <w:highlight w:val="none"/>
        </w:rPr>
      </w:pPr>
      <w:bookmarkStart w:id="23" w:name="_Toc26119_WPSOffice_Level1"/>
      <w:r>
        <w:rPr>
          <w:rFonts w:hint="eastAsia" w:ascii="宋体" w:hAnsi="宋体" w:eastAsia="宋体" w:cs="宋体"/>
          <w:b/>
          <w:color w:val="000000"/>
          <w:sz w:val="30"/>
          <w:highlight w:val="none"/>
        </w:rPr>
        <w:t>承 诺 函</w:t>
      </w:r>
      <w:bookmarkEnd w:id="23"/>
    </w:p>
    <w:p w14:paraId="4342529B">
      <w:pPr>
        <w:pStyle w:val="5"/>
        <w:overflowPunct w:val="0"/>
        <w:spacing w:line="500" w:lineRule="exact"/>
        <w:ind w:firstLine="0"/>
        <w:rPr>
          <w:rFonts w:hint="eastAsia" w:ascii="宋体" w:hAnsi="宋体" w:eastAsia="宋体" w:cs="宋体"/>
          <w:sz w:val="24"/>
          <w:szCs w:val="24"/>
          <w:highlight w:val="none"/>
          <w:lang w:eastAsia="zh-CN"/>
        </w:rPr>
      </w:pPr>
      <w:r>
        <w:rPr>
          <w:rFonts w:hint="eastAsia" w:hAnsi="宋体" w:cs="宋体"/>
          <w:sz w:val="24"/>
          <w:szCs w:val="24"/>
          <w:highlight w:val="none"/>
          <w:u w:val="single"/>
          <w:lang w:val="en-US" w:eastAsia="zh-CN"/>
        </w:rPr>
        <w:t>采购人、</w:t>
      </w:r>
      <w:r>
        <w:rPr>
          <w:rFonts w:hint="eastAsia" w:ascii="宋体" w:hAnsi="宋体" w:eastAsia="宋体" w:cs="宋体"/>
          <w:sz w:val="24"/>
          <w:szCs w:val="24"/>
          <w:highlight w:val="none"/>
          <w:u w:val="single"/>
          <w:lang w:eastAsia="zh-CN"/>
        </w:rPr>
        <w:t>常州青枫招标有限公司</w:t>
      </w:r>
      <w:r>
        <w:rPr>
          <w:rFonts w:hint="eastAsia" w:ascii="宋体" w:hAnsi="宋体" w:eastAsia="宋体" w:cs="宋体"/>
          <w:sz w:val="24"/>
          <w:szCs w:val="24"/>
          <w:highlight w:val="none"/>
          <w:lang w:eastAsia="zh-CN"/>
        </w:rPr>
        <w:t>：</w:t>
      </w:r>
    </w:p>
    <w:p w14:paraId="22BEBD4E">
      <w:pPr>
        <w:pStyle w:val="5"/>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我单位愿意参加贵公司组织实施的编号为</w:t>
      </w:r>
      <w:r>
        <w:rPr>
          <w:rFonts w:hint="eastAsia" w:ascii="宋体" w:hAnsi="宋体" w:eastAsia="宋体" w:cs="宋体"/>
          <w:sz w:val="24"/>
          <w:szCs w:val="24"/>
          <w:highlight w:val="none"/>
          <w:u w:val="single"/>
          <w:lang w:eastAsia="zh-CN"/>
        </w:rPr>
        <w:t xml:space="preserve">  （项目编号）  </w:t>
      </w:r>
      <w:r>
        <w:rPr>
          <w:rFonts w:hint="eastAsia" w:ascii="宋体" w:hAnsi="宋体" w:eastAsia="宋体" w:cs="宋体"/>
          <w:sz w:val="24"/>
          <w:szCs w:val="24"/>
          <w:highlight w:val="none"/>
          <w:lang w:eastAsia="zh-CN"/>
        </w:rPr>
        <w:t>号的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活动。我单位承诺：</w:t>
      </w:r>
    </w:p>
    <w:p w14:paraId="33192E16">
      <w:pPr>
        <w:pStyle w:val="5"/>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我单位是依法缴纳税收和社会保障资金的，具有独立订立合同的能力；未处于被责令停业，投标资格被取消的状态；我单位没有因骗取中标或者严重违约以及发生重大工程质量、安全事故等暂停投标资格并处在暂停期内。</w:t>
      </w:r>
    </w:p>
    <w:p w14:paraId="750F791F">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2.我单位参加招标活动前三年内，在经营活动中无重大违法记录或无不良行为记录，无其他法律、行政法规规定的禁止参与招投标活动的行为；</w:t>
      </w:r>
    </w:p>
    <w:p w14:paraId="5D3B81DB">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3.我单位知晓并遵守：单位负责人为同一人或者存在直接控股、管理关系的不同供应商，不得参加同一合同项下的招标活动；</w:t>
      </w:r>
    </w:p>
    <w:p w14:paraId="29041B45">
      <w:pPr>
        <w:pStyle w:val="5"/>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与我单位存在“单位负责人为同一人或者存在直接控股、管理关系”的其他单位信息如下（如无此情形的，填写“无”）：</w:t>
      </w:r>
    </w:p>
    <w:p w14:paraId="3B635593">
      <w:pPr>
        <w:pStyle w:val="5"/>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（1）与我单位的法定代表人（单位负责人）为同一人的其他单位如下：</w:t>
      </w:r>
      <w:r>
        <w:rPr>
          <w:rFonts w:hint="eastAsia" w:ascii="宋体" w:hAnsi="宋体" w:eastAsia="宋体" w:cs="宋体"/>
          <w:sz w:val="24"/>
          <w:szCs w:val="24"/>
          <w:highlight w:val="none"/>
          <w:u w:val="single"/>
          <w:lang w:eastAsia="zh-CN"/>
        </w:rPr>
        <w:t xml:space="preserve">  </w:t>
      </w:r>
    </w:p>
    <w:p w14:paraId="3BEF09AE">
      <w:pPr>
        <w:pStyle w:val="5"/>
        <w:overflowPunct w:val="0"/>
        <w:spacing w:line="48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（2）我单位直接控股的其他单位如下：</w:t>
      </w:r>
      <w:r>
        <w:rPr>
          <w:rFonts w:hint="eastAsia" w:ascii="宋体" w:hAnsi="宋体" w:eastAsia="宋体" w:cs="宋体"/>
          <w:sz w:val="24"/>
          <w:szCs w:val="24"/>
          <w:highlight w:val="none"/>
          <w:u w:val="single"/>
          <w:lang w:eastAsia="zh-CN"/>
        </w:rPr>
        <w:t xml:space="preserve">                   </w:t>
      </w:r>
    </w:p>
    <w:p w14:paraId="75362C2C">
      <w:pPr>
        <w:pStyle w:val="5"/>
        <w:overflowPunct w:val="0"/>
        <w:spacing w:line="48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（3）与我单位存在管理关系的其他单位如下：</w:t>
      </w:r>
      <w:r>
        <w:rPr>
          <w:rFonts w:hint="eastAsia" w:ascii="宋体" w:hAnsi="宋体" w:eastAsia="宋体" w:cs="宋体"/>
          <w:sz w:val="24"/>
          <w:szCs w:val="24"/>
          <w:highlight w:val="none"/>
          <w:u w:val="single"/>
          <w:lang w:eastAsia="zh-CN"/>
        </w:rPr>
        <w:t xml:space="preserve">              </w:t>
      </w:r>
    </w:p>
    <w:p w14:paraId="0BD85878">
      <w:pPr>
        <w:pStyle w:val="5"/>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highlight w:val="none"/>
        </w:rPr>
        <w:t>4.</w:t>
      </w:r>
      <w:r>
        <w:rPr>
          <w:rFonts w:hint="eastAsia" w:ascii="宋体" w:hAnsi="宋体" w:eastAsia="宋体" w:cs="宋体"/>
          <w:sz w:val="24"/>
          <w:highlight w:val="none"/>
          <w:lang w:eastAsia="zh-CN"/>
        </w:rPr>
        <w:t>我单位</w:t>
      </w:r>
      <w:r>
        <w:rPr>
          <w:rFonts w:hint="eastAsia" w:ascii="宋体" w:hAnsi="宋体" w:eastAsia="宋体" w:cs="宋体"/>
          <w:sz w:val="24"/>
          <w:highlight w:val="none"/>
        </w:rPr>
        <w:t>知晓并遵守：注册建造师不得同时在两个或者两个以上单位受聘或者执业；注册建造师无行贿犯罪行为记录或者有行贿犯罪行为记录，但自记录之日起已超过5年的；</w:t>
      </w:r>
    </w:p>
    <w:p w14:paraId="02C0BF3B">
      <w:pPr>
        <w:pStyle w:val="5"/>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.我单位提交的响应文件中所有关于供应商资格的文件、证明和陈述均是真实的、准确的。</w:t>
      </w:r>
    </w:p>
    <w:p w14:paraId="6A208DDA">
      <w:pPr>
        <w:keepNext w:val="0"/>
        <w:keepLines w:val="0"/>
        <w:pageBreakBefore w:val="0"/>
        <w:widowControl w:val="0"/>
        <w:kinsoku/>
        <w:wordWrap/>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lang w:eastAsia="zh-CN"/>
        </w:rPr>
        <w:t>我单位保证上述承诺的事项都是真实的，如有虚假，我单位愿意承担相应的法律责任，并承担因此所造成的一切损失。</w:t>
      </w:r>
    </w:p>
    <w:p w14:paraId="77C8F074">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pPr>
    </w:p>
    <w:p w14:paraId="60398570">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供应商（盖章）：                    </w:t>
      </w:r>
    </w:p>
    <w:p w14:paraId="2C5BC4DF">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法定代表人或代理人（签字或盖章）：</w:t>
      </w:r>
    </w:p>
    <w:p w14:paraId="37917385">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color w:val="000000"/>
          <w:sz w:val="24"/>
          <w:highlight w:val="none"/>
        </w:rPr>
        <w:t>日期：   年  月  日</w:t>
      </w:r>
    </w:p>
    <w:p w14:paraId="3B08EAA0">
      <w:pPr>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友 情 提 醒</w:t>
      </w:r>
    </w:p>
    <w:p w14:paraId="70F482DB">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尊敬的供应商及项目参与人：</w:t>
      </w:r>
    </w:p>
    <w:p w14:paraId="4C7F4223">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为了提高贵单位的标书有效性，减少不必要的废标情况发生，特友情提醒注意以下几点：</w:t>
      </w:r>
    </w:p>
    <w:p w14:paraId="06AFFD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请注意谈判文件上表述的</w:t>
      </w:r>
      <w:r>
        <w:rPr>
          <w:rFonts w:hint="eastAsia" w:ascii="宋体" w:hAnsi="宋体" w:eastAsia="宋体" w:cs="宋体"/>
          <w:b/>
          <w:sz w:val="24"/>
          <w:szCs w:val="24"/>
          <w:highlight w:val="none"/>
        </w:rPr>
        <w:t>各项事宜时间节点</w:t>
      </w:r>
      <w:r>
        <w:rPr>
          <w:rFonts w:hint="eastAsia" w:ascii="宋体" w:hAnsi="宋体" w:eastAsia="宋体" w:cs="宋体"/>
          <w:sz w:val="24"/>
          <w:szCs w:val="24"/>
          <w:highlight w:val="none"/>
        </w:rPr>
        <w:t>，特别是</w:t>
      </w:r>
      <w:r>
        <w:rPr>
          <w:rFonts w:hint="eastAsia" w:ascii="宋体" w:hAnsi="宋体" w:eastAsia="宋体" w:cs="宋体"/>
          <w:b/>
          <w:sz w:val="24"/>
          <w:szCs w:val="24"/>
          <w:highlight w:val="none"/>
        </w:rPr>
        <w:t>谈判时间和地点</w:t>
      </w:r>
      <w:r>
        <w:rPr>
          <w:rFonts w:hint="eastAsia" w:ascii="宋体" w:hAnsi="宋体" w:eastAsia="宋体" w:cs="宋体"/>
          <w:sz w:val="24"/>
          <w:szCs w:val="24"/>
          <w:highlight w:val="none"/>
        </w:rPr>
        <w:t>，谈判开始后，迟到的按相关规定将一律不得进入开标室。同时涉及到投标项目的所有投标材料及相关人员均须在谈判截止时间前到达谈判现场。</w:t>
      </w:r>
    </w:p>
    <w:p w14:paraId="263C09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谈判保证金一定要从对公账户按谈判文件规定的方式和时间缴至指定</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户并到</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，拒绝以其它方式缴纳，禁止第三方代缴保证金。中标公示结束无特殊情况后，我们仅会将</w:t>
      </w:r>
      <w:r>
        <w:rPr>
          <w:rFonts w:hint="eastAsia" w:ascii="宋体" w:hAnsi="宋体" w:eastAsia="宋体" w:cs="宋体"/>
          <w:sz w:val="24"/>
          <w:szCs w:val="24"/>
          <w:highlight w:val="none"/>
          <w:lang w:eastAsia="zh-CN"/>
        </w:rPr>
        <w:t>谈判保证金</w:t>
      </w:r>
      <w:r>
        <w:rPr>
          <w:rFonts w:hint="eastAsia" w:ascii="宋体" w:hAnsi="宋体" w:eastAsia="宋体" w:cs="宋体"/>
          <w:sz w:val="24"/>
          <w:szCs w:val="24"/>
          <w:highlight w:val="none"/>
        </w:rPr>
        <w:t>（无息）退还至您的对公账户。</w:t>
      </w:r>
    </w:p>
    <w:p w14:paraId="21C805F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响应文件正副本分开</w:t>
      </w:r>
      <w:r>
        <w:rPr>
          <w:rFonts w:hint="eastAsia" w:ascii="宋体" w:hAnsi="宋体" w:eastAsia="宋体" w:cs="宋体"/>
          <w:b/>
          <w:sz w:val="24"/>
          <w:szCs w:val="24"/>
          <w:highlight w:val="none"/>
        </w:rPr>
        <w:t>密封</w:t>
      </w:r>
      <w:r>
        <w:rPr>
          <w:rFonts w:hint="eastAsia" w:ascii="宋体" w:hAnsi="宋体" w:eastAsia="宋体" w:cs="宋体"/>
          <w:sz w:val="24"/>
          <w:szCs w:val="24"/>
          <w:highlight w:val="none"/>
        </w:rPr>
        <w:t>并在封袋骑缝处加盖</w:t>
      </w:r>
      <w:r>
        <w:rPr>
          <w:rFonts w:hint="eastAsia" w:ascii="宋体" w:hAnsi="宋体" w:eastAsia="宋体" w:cs="宋体"/>
          <w:b/>
          <w:bCs/>
          <w:sz w:val="24"/>
          <w:szCs w:val="24"/>
          <w:highlight w:val="none"/>
        </w:rPr>
        <w:t>供应商</w:t>
      </w:r>
      <w:r>
        <w:rPr>
          <w:rFonts w:hint="eastAsia" w:ascii="宋体" w:hAnsi="宋体" w:eastAsia="宋体" w:cs="宋体"/>
          <w:b/>
          <w:sz w:val="24"/>
          <w:szCs w:val="24"/>
          <w:highlight w:val="none"/>
        </w:rPr>
        <w:t>公章</w:t>
      </w:r>
      <w:r>
        <w:rPr>
          <w:rFonts w:hint="eastAsia" w:ascii="宋体" w:hAnsi="宋体" w:eastAsia="宋体" w:cs="宋体"/>
          <w:sz w:val="24"/>
          <w:szCs w:val="24"/>
          <w:highlight w:val="none"/>
        </w:rPr>
        <w:t>。资格证明材料提供复印件的必须加盖</w:t>
      </w:r>
      <w:r>
        <w:rPr>
          <w:rFonts w:hint="eastAsia" w:ascii="宋体" w:hAnsi="宋体" w:eastAsia="宋体" w:cs="宋体"/>
          <w:b/>
          <w:sz w:val="24"/>
          <w:szCs w:val="24"/>
          <w:highlight w:val="none"/>
        </w:rPr>
        <w:t>公章</w:t>
      </w:r>
      <w:r>
        <w:rPr>
          <w:rFonts w:hint="eastAsia" w:ascii="宋体" w:hAnsi="宋体" w:eastAsia="宋体" w:cs="宋体"/>
          <w:sz w:val="24"/>
          <w:szCs w:val="24"/>
          <w:highlight w:val="none"/>
        </w:rPr>
        <w:t>，有要求提供原件的必须提供</w:t>
      </w:r>
      <w:r>
        <w:rPr>
          <w:rFonts w:hint="eastAsia" w:ascii="宋体" w:hAnsi="宋体" w:eastAsia="宋体" w:cs="宋体"/>
          <w:b/>
          <w:sz w:val="24"/>
          <w:szCs w:val="24"/>
          <w:highlight w:val="none"/>
        </w:rPr>
        <w:t>原件</w:t>
      </w:r>
      <w:r>
        <w:rPr>
          <w:rFonts w:hint="eastAsia" w:ascii="宋体" w:hAnsi="宋体" w:eastAsia="宋体" w:cs="宋体"/>
          <w:sz w:val="24"/>
          <w:szCs w:val="24"/>
          <w:highlight w:val="none"/>
        </w:rPr>
        <w:t>。</w:t>
      </w:r>
    </w:p>
    <w:p w14:paraId="54E950D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需要提供样品的，请严格按谈判文件要求的</w:t>
      </w:r>
      <w:r>
        <w:rPr>
          <w:rFonts w:hint="eastAsia" w:ascii="宋体" w:hAnsi="宋体" w:eastAsia="宋体" w:cs="宋体"/>
          <w:b/>
          <w:sz w:val="24"/>
          <w:szCs w:val="24"/>
          <w:highlight w:val="none"/>
        </w:rPr>
        <w:t>规格、时间</w:t>
      </w:r>
      <w:r>
        <w:rPr>
          <w:rFonts w:hint="eastAsia" w:ascii="宋体" w:hAnsi="宋体" w:eastAsia="宋体" w:cs="宋体"/>
          <w:sz w:val="24"/>
          <w:szCs w:val="24"/>
          <w:highlight w:val="none"/>
        </w:rPr>
        <w:t>提供。同时注意</w:t>
      </w:r>
      <w:r>
        <w:rPr>
          <w:rFonts w:hint="eastAsia" w:ascii="宋体" w:hAnsi="宋体" w:eastAsia="宋体" w:cs="宋体"/>
          <w:b/>
          <w:sz w:val="24"/>
          <w:szCs w:val="24"/>
          <w:highlight w:val="none"/>
        </w:rPr>
        <w:t>密封、隐蔽</w:t>
      </w:r>
      <w:r>
        <w:rPr>
          <w:rFonts w:hint="eastAsia" w:ascii="宋体" w:hAnsi="宋体" w:eastAsia="宋体" w:cs="宋体"/>
          <w:sz w:val="24"/>
          <w:szCs w:val="24"/>
          <w:highlight w:val="none"/>
        </w:rPr>
        <w:t>标签等相关要求。</w:t>
      </w:r>
    </w:p>
    <w:p w14:paraId="16A666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因谈判文件文字表述有限，如项目可踏勘现场的，建议贵单位</w:t>
      </w:r>
      <w:r>
        <w:rPr>
          <w:rFonts w:hint="eastAsia" w:ascii="宋体" w:hAnsi="宋体" w:eastAsia="宋体" w:cs="宋体"/>
          <w:b/>
          <w:sz w:val="24"/>
          <w:szCs w:val="24"/>
          <w:highlight w:val="none"/>
        </w:rPr>
        <w:t>现场踏勘</w:t>
      </w:r>
      <w:r>
        <w:rPr>
          <w:rFonts w:hint="eastAsia" w:ascii="宋体" w:hAnsi="宋体" w:eastAsia="宋体" w:cs="宋体"/>
          <w:sz w:val="24"/>
          <w:szCs w:val="24"/>
          <w:highlight w:val="none"/>
        </w:rPr>
        <w:t>，可以在投标前充分了解现场环境、</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要求和质量要求等信息，为贵单位有针对性的制作响应文件积累充分的原始资料。</w:t>
      </w:r>
    </w:p>
    <w:p w14:paraId="585422B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设定</w:t>
      </w:r>
      <w:r>
        <w:rPr>
          <w:rFonts w:hint="eastAsia" w:ascii="宋体" w:hAnsi="宋体" w:eastAsia="宋体" w:cs="宋体"/>
          <w:b/>
          <w:sz w:val="24"/>
          <w:szCs w:val="24"/>
          <w:highlight w:val="none"/>
        </w:rPr>
        <w:t>最高限价</w:t>
      </w:r>
      <w:r>
        <w:rPr>
          <w:rFonts w:hint="eastAsia" w:ascii="宋体" w:hAnsi="宋体" w:eastAsia="宋体" w:cs="宋体"/>
          <w:sz w:val="24"/>
          <w:szCs w:val="24"/>
          <w:highlight w:val="none"/>
        </w:rPr>
        <w:t>的，超过限价一律</w:t>
      </w:r>
      <w:r>
        <w:rPr>
          <w:rFonts w:hint="eastAsia" w:ascii="宋体" w:hAnsi="宋体" w:eastAsia="宋体" w:cs="宋体"/>
          <w:sz w:val="24"/>
          <w:szCs w:val="24"/>
          <w:highlight w:val="none"/>
          <w:lang w:val="en-US" w:eastAsia="zh-CN"/>
        </w:rPr>
        <w:t>视为无效响应</w:t>
      </w:r>
      <w:r>
        <w:rPr>
          <w:rFonts w:hint="eastAsia" w:ascii="宋体" w:hAnsi="宋体" w:eastAsia="宋体" w:cs="宋体"/>
          <w:sz w:val="24"/>
          <w:szCs w:val="24"/>
          <w:highlight w:val="none"/>
        </w:rPr>
        <w:t>。</w:t>
      </w:r>
    </w:p>
    <w:p w14:paraId="644DE2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请仔细</w:t>
      </w:r>
      <w:r>
        <w:rPr>
          <w:rFonts w:hint="eastAsia" w:ascii="宋体" w:hAnsi="宋体" w:eastAsia="宋体" w:cs="宋体"/>
          <w:b/>
          <w:sz w:val="24"/>
          <w:szCs w:val="24"/>
          <w:highlight w:val="none"/>
        </w:rPr>
        <w:t>审阅谈判文件,特别是黑体字</w:t>
      </w:r>
      <w:r>
        <w:rPr>
          <w:rFonts w:hint="eastAsia" w:ascii="宋体" w:hAnsi="宋体" w:eastAsia="宋体" w:cs="宋体"/>
          <w:sz w:val="24"/>
          <w:szCs w:val="24"/>
          <w:highlight w:val="none"/>
        </w:rPr>
        <w:t>。如有疑问，请按谈判文件要求进行询疑。</w:t>
      </w:r>
    </w:p>
    <w:p w14:paraId="74FBEC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本谈判文件的最终解释权归常州青枫招标有限公司所有。</w:t>
      </w:r>
    </w:p>
    <w:p w14:paraId="29EDB7E1">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在此我们也诚恳地希望贵单位能对我们的招标组织工作提出宝贵意见，联系电话0519-88119558、0519-88119550。</w:t>
      </w:r>
    </w:p>
    <w:p w14:paraId="0D88F95C">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最后祝您投标成功！</w:t>
      </w:r>
    </w:p>
    <w:p w14:paraId="625946DE">
      <w:pPr>
        <w:widowControl/>
        <w:wordWrap w:val="0"/>
        <w:spacing w:line="560" w:lineRule="exact"/>
        <w:jc w:val="center"/>
        <w:rPr>
          <w:rFonts w:hint="eastAsia" w:ascii="宋体" w:hAnsi="宋体" w:eastAsia="宋体" w:cs="宋体"/>
          <w:sz w:val="25"/>
          <w:szCs w:val="25"/>
          <w:highlight w:val="none"/>
        </w:rPr>
      </w:pPr>
    </w:p>
    <w:p w14:paraId="6D35F99D">
      <w:pPr>
        <w:widowControl/>
        <w:wordWrap w:val="0"/>
        <w:spacing w:line="560" w:lineRule="exact"/>
        <w:jc w:val="right"/>
        <w:rPr>
          <w:rFonts w:hint="eastAsia" w:ascii="宋体" w:hAnsi="宋体" w:eastAsia="宋体" w:cs="宋体"/>
          <w:sz w:val="25"/>
          <w:szCs w:val="25"/>
          <w:highlight w:val="none"/>
        </w:rPr>
      </w:pPr>
      <w:r>
        <w:rPr>
          <w:rFonts w:hint="eastAsia" w:ascii="宋体" w:hAnsi="宋体" w:eastAsia="宋体" w:cs="宋体"/>
          <w:sz w:val="28"/>
          <w:szCs w:val="28"/>
          <w:highlight w:val="none"/>
        </w:rPr>
        <w:t>常州青枫招标有限公司</w:t>
      </w:r>
    </w:p>
    <w:p w14:paraId="191E3BE6">
      <w:pPr>
        <w:rPr>
          <w:rFonts w:hint="eastAsia" w:ascii="宋体" w:hAnsi="宋体" w:eastAsia="宋体" w:cs="宋体"/>
          <w:b/>
          <w:sz w:val="32"/>
          <w:highlight w:val="none"/>
        </w:rPr>
      </w:pPr>
    </w:p>
    <w:p w14:paraId="17F07E1D">
      <w:pPr>
        <w:jc w:val="center"/>
        <w:rPr>
          <w:rFonts w:hint="eastAsia" w:ascii="宋体" w:hAnsi="宋体" w:eastAsia="宋体" w:cs="宋体"/>
          <w:bCs/>
          <w:sz w:val="24"/>
          <w:szCs w:val="24"/>
          <w:highlight w:val="none"/>
        </w:rPr>
      </w:pPr>
      <w:r>
        <w:rPr>
          <w:rFonts w:hint="eastAsia" w:ascii="宋体" w:hAnsi="宋体" w:eastAsia="宋体" w:cs="宋体"/>
          <w:b/>
          <w:sz w:val="32"/>
          <w:highlight w:val="none"/>
        </w:rPr>
        <w:t>（全文完）</w:t>
      </w:r>
    </w:p>
    <w:sectPr>
      <w:pgSz w:w="11907" w:h="16839"/>
      <w:pgMar w:top="1440" w:right="1800" w:bottom="1440" w:left="1800"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Menlo">
    <w:altName w:val="Segoe Print"/>
    <w:panose1 w:val="00000000000000000000"/>
    <w:charset w:val="00"/>
    <w:family w:val="modern"/>
    <w:pitch w:val="default"/>
    <w:sig w:usb0="00000000" w:usb1="00000000" w:usb2="02000028" w:usb3="00000000" w:csb0="000001D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86BA">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09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AFF6C85">
                          <w:pPr>
                            <w:pStyle w:val="19"/>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309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5&#10;uc8AAAAFAQAADwAAAAAAAAABACAAAAAiAAAAZHJzL2Rvd25yZXYueG1sUEsBAhQAFAAAAAgAh07i&#10;QJMeWtvyAQAA5gMAAA4AAAAAAAAAAQAgAAAAHgEAAGRycy9lMm9Eb2MueG1sUEsFBgAAAAAGAAYA&#10;WQEAAIIFAAAAAA==&#10;">
              <v:fill on="f" focussize="0,0"/>
              <v:stroke on="f"/>
              <v:imagedata o:title=""/>
              <o:lock v:ext="edit" aspectratio="f"/>
              <v:textbox inset="0mm,0mm,0mm,0mm" style="mso-fit-shape-to-text:t;">
                <w:txbxContent>
                  <w:p w14:paraId="6AFF6C85">
                    <w:pPr>
                      <w:pStyle w:val="19"/>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mc:Fallback>
      </mc:AlternateContent>
    </w:r>
  </w:p>
  <w:p w14:paraId="545A5BB8">
    <w:pPr>
      <w:pStyle w:val="19"/>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DD65">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09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3CF2012">
                          <w:pPr>
                            <w:pStyle w:val="19"/>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309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Aj/9VP8wEAAOYDAAAOAAAAAAAAAAEAIAAAAB4BAABkcnMvZTJvRG9jLnhtbFBLBQYAAAAABgAG&#10;AFkBAACDBQAAAAA=&#10;">
              <v:fill on="f" focussize="0,0"/>
              <v:stroke on="f"/>
              <v:imagedata o:title=""/>
              <o:lock v:ext="edit" aspectratio="f"/>
              <v:textbox inset="0mm,0mm,0mm,0mm" style="mso-fit-shape-to-text:t;">
                <w:txbxContent>
                  <w:p w14:paraId="63CF2012">
                    <w:pPr>
                      <w:pStyle w:val="19"/>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mc:Fallback>
      </mc:AlternateContent>
    </w:r>
  </w:p>
  <w:p w14:paraId="4DA8CB65">
    <w:pPr>
      <w:pStyle w:val="19"/>
      <w:tabs>
        <w:tab w:val="right" w:pos="8306"/>
        <w:tab w:val="clear" w:pos="8307"/>
      </w:tabs>
      <w:jc w:val="center"/>
      <w:rPr>
        <w:rFonts w:ascii="楷体_GB2312" w:hAnsi="楷体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36E8">
    <w:pPr>
      <w:pStyle w:val="19"/>
      <w:rPr>
        <w:rFonts w:ascii="宋体" w:hAnsi="宋体" w:cs="宋体"/>
        <w:szCs w:val="16"/>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09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05F3DD90">
                          <w:pPr>
                            <w:pStyle w:val="19"/>
                          </w:pPr>
                          <w:r>
                            <w:rPr>
                              <w:rFonts w:hint="eastAsia"/>
                            </w:rPr>
                            <w:t xml:space="preserve">第 </w:t>
                          </w:r>
                          <w:r>
                            <w:fldChar w:fldCharType="begin"/>
                          </w:r>
                          <w:r>
                            <w:instrText xml:space="preserve"> PAGE  \* MERGEFORMAT </w:instrText>
                          </w:r>
                          <w:r>
                            <w:fldChar w:fldCharType="separate"/>
                          </w:r>
                          <w:r>
                            <w:t>39</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309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qXm5zwAAAAUBAAAPAAAAAAAAAAEAIAAAACIAAABkcnMvZG93bnJldi54bWxQSwECFAAUAAAACACH&#10;TuJA+w+SBfQBAADmAwAADgAAAAAAAAABACAAAAAeAQAAZHJzL2Uyb0RvYy54bWxQSwUGAAAAAAYA&#10;BgBZAQAAhAUAAAAA&#10;">
              <v:fill on="f" focussize="0,0"/>
              <v:stroke on="f"/>
              <v:imagedata o:title=""/>
              <o:lock v:ext="edit" aspectratio="f"/>
              <v:textbox inset="0mm,0mm,0mm,0mm" style="mso-fit-shape-to-text:t;">
                <w:txbxContent>
                  <w:p w14:paraId="05F3DD90">
                    <w:pPr>
                      <w:pStyle w:val="19"/>
                    </w:pPr>
                    <w:r>
                      <w:rPr>
                        <w:rFonts w:hint="eastAsia"/>
                      </w:rPr>
                      <w:t xml:space="preserve">第 </w:t>
                    </w:r>
                    <w:r>
                      <w:fldChar w:fldCharType="begin"/>
                    </w:r>
                    <w:r>
                      <w:instrText xml:space="preserve"> PAGE  \* MERGEFORMAT </w:instrText>
                    </w:r>
                    <w:r>
                      <w:fldChar w:fldCharType="separate"/>
                    </w:r>
                    <w:r>
                      <w:t>39</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997C">
    <w:pPr>
      <w:pStyle w:val="20"/>
      <w:pBdr>
        <w:bottom w:val="single" w:color="auto" w:sz="4" w:space="1"/>
      </w:pBdr>
      <w:jc w:val="right"/>
    </w:pPr>
    <w:r>
      <w:rPr>
        <w:rFonts w:hint="eastAsia" w:eastAsia="Times New Roman"/>
      </w:rPr>
      <w:drawing>
        <wp:inline distT="0" distB="0" distL="114300" distR="114300">
          <wp:extent cx="1319530" cy="200025"/>
          <wp:effectExtent l="0" t="0" r="1270" b="3175"/>
          <wp:docPr id="8"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4AE2">
    <w:pPr>
      <w:pStyle w:val="20"/>
      <w:pBdr>
        <w:bottom w:val="single" w:color="auto" w:sz="4" w:space="0"/>
      </w:pBdr>
      <w:jc w:val="right"/>
    </w:pPr>
    <w:r>
      <w:rPr>
        <w:rFonts w:hint="eastAsia" w:eastAsia="Times New Roman"/>
      </w:rPr>
      <w:drawing>
        <wp:inline distT="0" distB="0" distL="114300" distR="114300">
          <wp:extent cx="1319530" cy="200025"/>
          <wp:effectExtent l="0" t="0" r="1270" b="3175"/>
          <wp:docPr id="11"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YjU1NTc0MGFkOTZjNGU4ZWU5MGFjZDVkYWJmMmQifQ=="/>
  </w:docVars>
  <w:rsids>
    <w:rsidRoot w:val="00172A27"/>
    <w:rsid w:val="00027A41"/>
    <w:rsid w:val="00050EF1"/>
    <w:rsid w:val="0009327B"/>
    <w:rsid w:val="000A2D24"/>
    <w:rsid w:val="000B444D"/>
    <w:rsid w:val="000E3859"/>
    <w:rsid w:val="000E57BF"/>
    <w:rsid w:val="00105E01"/>
    <w:rsid w:val="0010752C"/>
    <w:rsid w:val="00121159"/>
    <w:rsid w:val="0012524F"/>
    <w:rsid w:val="001345EE"/>
    <w:rsid w:val="0013509F"/>
    <w:rsid w:val="00166AB2"/>
    <w:rsid w:val="00172A27"/>
    <w:rsid w:val="00195D2A"/>
    <w:rsid w:val="001C3855"/>
    <w:rsid w:val="001D57F5"/>
    <w:rsid w:val="00222991"/>
    <w:rsid w:val="00265FB1"/>
    <w:rsid w:val="00274B61"/>
    <w:rsid w:val="002B6852"/>
    <w:rsid w:val="002B691A"/>
    <w:rsid w:val="002C51D3"/>
    <w:rsid w:val="002D5F0F"/>
    <w:rsid w:val="00352E41"/>
    <w:rsid w:val="00394E86"/>
    <w:rsid w:val="003B0EF8"/>
    <w:rsid w:val="003E61A1"/>
    <w:rsid w:val="00406E5E"/>
    <w:rsid w:val="004B0A46"/>
    <w:rsid w:val="004C210D"/>
    <w:rsid w:val="004C6FAE"/>
    <w:rsid w:val="004E6A7E"/>
    <w:rsid w:val="004E797C"/>
    <w:rsid w:val="0050662C"/>
    <w:rsid w:val="0051349E"/>
    <w:rsid w:val="00513A47"/>
    <w:rsid w:val="005143AA"/>
    <w:rsid w:val="00532E06"/>
    <w:rsid w:val="00541447"/>
    <w:rsid w:val="00554CBB"/>
    <w:rsid w:val="00554E8B"/>
    <w:rsid w:val="00555567"/>
    <w:rsid w:val="00567DA3"/>
    <w:rsid w:val="0057098E"/>
    <w:rsid w:val="00586B9E"/>
    <w:rsid w:val="00594F42"/>
    <w:rsid w:val="005C7036"/>
    <w:rsid w:val="00627C1C"/>
    <w:rsid w:val="00630823"/>
    <w:rsid w:val="00660532"/>
    <w:rsid w:val="00674E08"/>
    <w:rsid w:val="0067534F"/>
    <w:rsid w:val="00696A4D"/>
    <w:rsid w:val="006D313B"/>
    <w:rsid w:val="00751E67"/>
    <w:rsid w:val="00793886"/>
    <w:rsid w:val="007F6B00"/>
    <w:rsid w:val="00845843"/>
    <w:rsid w:val="0087515F"/>
    <w:rsid w:val="008D7566"/>
    <w:rsid w:val="008F7EE4"/>
    <w:rsid w:val="00924262"/>
    <w:rsid w:val="0094201B"/>
    <w:rsid w:val="009461C3"/>
    <w:rsid w:val="00947B8A"/>
    <w:rsid w:val="00964581"/>
    <w:rsid w:val="009E69E9"/>
    <w:rsid w:val="009F3F30"/>
    <w:rsid w:val="009F467F"/>
    <w:rsid w:val="009F56C1"/>
    <w:rsid w:val="00A01215"/>
    <w:rsid w:val="00A23CDB"/>
    <w:rsid w:val="00A330D9"/>
    <w:rsid w:val="00A55315"/>
    <w:rsid w:val="00A579FB"/>
    <w:rsid w:val="00A60E1B"/>
    <w:rsid w:val="00A80690"/>
    <w:rsid w:val="00A862A8"/>
    <w:rsid w:val="00AA66B4"/>
    <w:rsid w:val="00AB1C1B"/>
    <w:rsid w:val="00B61DC9"/>
    <w:rsid w:val="00B93FB7"/>
    <w:rsid w:val="00BE096C"/>
    <w:rsid w:val="00C00501"/>
    <w:rsid w:val="00C018EC"/>
    <w:rsid w:val="00C14B91"/>
    <w:rsid w:val="00C21162"/>
    <w:rsid w:val="00C41BBB"/>
    <w:rsid w:val="00C9041D"/>
    <w:rsid w:val="00CC0306"/>
    <w:rsid w:val="00D20FA9"/>
    <w:rsid w:val="00D31384"/>
    <w:rsid w:val="00D53351"/>
    <w:rsid w:val="00D550AE"/>
    <w:rsid w:val="00D8192F"/>
    <w:rsid w:val="00D85A03"/>
    <w:rsid w:val="00D961CF"/>
    <w:rsid w:val="00DB765C"/>
    <w:rsid w:val="00E20BD9"/>
    <w:rsid w:val="00E37C6F"/>
    <w:rsid w:val="00E41E9B"/>
    <w:rsid w:val="00E775B6"/>
    <w:rsid w:val="00E8076B"/>
    <w:rsid w:val="00E94C6D"/>
    <w:rsid w:val="00EE12C4"/>
    <w:rsid w:val="00EF318B"/>
    <w:rsid w:val="00F17EC8"/>
    <w:rsid w:val="00F41AFC"/>
    <w:rsid w:val="00F60DA0"/>
    <w:rsid w:val="00F64CF0"/>
    <w:rsid w:val="00FE5155"/>
    <w:rsid w:val="01080A12"/>
    <w:rsid w:val="012C57C8"/>
    <w:rsid w:val="01370CAB"/>
    <w:rsid w:val="01475A15"/>
    <w:rsid w:val="015467F2"/>
    <w:rsid w:val="01665394"/>
    <w:rsid w:val="01674157"/>
    <w:rsid w:val="019873F6"/>
    <w:rsid w:val="01EB045F"/>
    <w:rsid w:val="01F24BB3"/>
    <w:rsid w:val="01F4298F"/>
    <w:rsid w:val="01FB5170"/>
    <w:rsid w:val="020C7CDF"/>
    <w:rsid w:val="02205353"/>
    <w:rsid w:val="026B2BF3"/>
    <w:rsid w:val="026E0D49"/>
    <w:rsid w:val="028B665F"/>
    <w:rsid w:val="028C64C4"/>
    <w:rsid w:val="02965669"/>
    <w:rsid w:val="029931EA"/>
    <w:rsid w:val="02DA66D9"/>
    <w:rsid w:val="02E11022"/>
    <w:rsid w:val="030005A8"/>
    <w:rsid w:val="03035928"/>
    <w:rsid w:val="03231B33"/>
    <w:rsid w:val="032C7B2D"/>
    <w:rsid w:val="033E696D"/>
    <w:rsid w:val="035856C4"/>
    <w:rsid w:val="03600692"/>
    <w:rsid w:val="03896F98"/>
    <w:rsid w:val="03E07DB4"/>
    <w:rsid w:val="03E1511C"/>
    <w:rsid w:val="03EA08A3"/>
    <w:rsid w:val="03F9183C"/>
    <w:rsid w:val="04073DDB"/>
    <w:rsid w:val="042D4836"/>
    <w:rsid w:val="04315075"/>
    <w:rsid w:val="044F0625"/>
    <w:rsid w:val="045547C4"/>
    <w:rsid w:val="04642403"/>
    <w:rsid w:val="0465159B"/>
    <w:rsid w:val="04700DA8"/>
    <w:rsid w:val="049C1B9D"/>
    <w:rsid w:val="049D1620"/>
    <w:rsid w:val="04A05C04"/>
    <w:rsid w:val="04C55289"/>
    <w:rsid w:val="04C960AD"/>
    <w:rsid w:val="04D1736D"/>
    <w:rsid w:val="04E85D84"/>
    <w:rsid w:val="04EB6168"/>
    <w:rsid w:val="04F93EE6"/>
    <w:rsid w:val="04FD6796"/>
    <w:rsid w:val="05031975"/>
    <w:rsid w:val="05153567"/>
    <w:rsid w:val="051817CE"/>
    <w:rsid w:val="05257E37"/>
    <w:rsid w:val="053525C0"/>
    <w:rsid w:val="053D150D"/>
    <w:rsid w:val="05610102"/>
    <w:rsid w:val="05AE3CE2"/>
    <w:rsid w:val="05CE7F14"/>
    <w:rsid w:val="05E03D0C"/>
    <w:rsid w:val="05E50845"/>
    <w:rsid w:val="05E95A04"/>
    <w:rsid w:val="05F477B7"/>
    <w:rsid w:val="06103818"/>
    <w:rsid w:val="062C0CFF"/>
    <w:rsid w:val="063310CA"/>
    <w:rsid w:val="06390D82"/>
    <w:rsid w:val="065D5D87"/>
    <w:rsid w:val="066F6E3E"/>
    <w:rsid w:val="06954AF6"/>
    <w:rsid w:val="06C65BF7"/>
    <w:rsid w:val="06CF42C7"/>
    <w:rsid w:val="06D65ED9"/>
    <w:rsid w:val="06DE4AB8"/>
    <w:rsid w:val="06F85A8F"/>
    <w:rsid w:val="073D2979"/>
    <w:rsid w:val="07805516"/>
    <w:rsid w:val="07894E90"/>
    <w:rsid w:val="079E1C56"/>
    <w:rsid w:val="07A81B62"/>
    <w:rsid w:val="07E01DA1"/>
    <w:rsid w:val="07E95472"/>
    <w:rsid w:val="07F47A8F"/>
    <w:rsid w:val="07FB1D19"/>
    <w:rsid w:val="07FB6BDB"/>
    <w:rsid w:val="07FE491D"/>
    <w:rsid w:val="080931DD"/>
    <w:rsid w:val="080E6317"/>
    <w:rsid w:val="0820627A"/>
    <w:rsid w:val="08522DAE"/>
    <w:rsid w:val="08595B43"/>
    <w:rsid w:val="086370C4"/>
    <w:rsid w:val="08973C0F"/>
    <w:rsid w:val="08A37A8E"/>
    <w:rsid w:val="09194649"/>
    <w:rsid w:val="09232C73"/>
    <w:rsid w:val="09292AA6"/>
    <w:rsid w:val="094620D8"/>
    <w:rsid w:val="094A4E24"/>
    <w:rsid w:val="094D16B8"/>
    <w:rsid w:val="09622C8A"/>
    <w:rsid w:val="096737A6"/>
    <w:rsid w:val="097074E6"/>
    <w:rsid w:val="09936110"/>
    <w:rsid w:val="09994E4C"/>
    <w:rsid w:val="099C315A"/>
    <w:rsid w:val="09A370FB"/>
    <w:rsid w:val="09AC5F31"/>
    <w:rsid w:val="09BE7101"/>
    <w:rsid w:val="09E518F1"/>
    <w:rsid w:val="0A1E135A"/>
    <w:rsid w:val="0A2218A6"/>
    <w:rsid w:val="0A250002"/>
    <w:rsid w:val="0A29711D"/>
    <w:rsid w:val="0A334D52"/>
    <w:rsid w:val="0A422E3D"/>
    <w:rsid w:val="0A4610DE"/>
    <w:rsid w:val="0A4644A4"/>
    <w:rsid w:val="0A516F86"/>
    <w:rsid w:val="0A740691"/>
    <w:rsid w:val="0A7E7929"/>
    <w:rsid w:val="0A97326B"/>
    <w:rsid w:val="0A9D6B1E"/>
    <w:rsid w:val="0AA545D3"/>
    <w:rsid w:val="0ABD286D"/>
    <w:rsid w:val="0AEE5A03"/>
    <w:rsid w:val="0AFB1A29"/>
    <w:rsid w:val="0B150779"/>
    <w:rsid w:val="0B252A67"/>
    <w:rsid w:val="0B2F6DCA"/>
    <w:rsid w:val="0B336824"/>
    <w:rsid w:val="0B3C7D2A"/>
    <w:rsid w:val="0B7849E6"/>
    <w:rsid w:val="0B8C51E1"/>
    <w:rsid w:val="0BCD3603"/>
    <w:rsid w:val="0BEC09D3"/>
    <w:rsid w:val="0C19133B"/>
    <w:rsid w:val="0C2323C4"/>
    <w:rsid w:val="0C35164E"/>
    <w:rsid w:val="0C6F4DDB"/>
    <w:rsid w:val="0C826B43"/>
    <w:rsid w:val="0C9259AA"/>
    <w:rsid w:val="0CA14805"/>
    <w:rsid w:val="0CB90E13"/>
    <w:rsid w:val="0CBB2DDD"/>
    <w:rsid w:val="0CCA1272"/>
    <w:rsid w:val="0CD4058C"/>
    <w:rsid w:val="0CFE3577"/>
    <w:rsid w:val="0D136C0E"/>
    <w:rsid w:val="0D1854ED"/>
    <w:rsid w:val="0D3B596D"/>
    <w:rsid w:val="0D3E0D25"/>
    <w:rsid w:val="0D5D643B"/>
    <w:rsid w:val="0D5E6886"/>
    <w:rsid w:val="0D6459A8"/>
    <w:rsid w:val="0D6F5549"/>
    <w:rsid w:val="0D8376B0"/>
    <w:rsid w:val="0DA87245"/>
    <w:rsid w:val="0DD105A1"/>
    <w:rsid w:val="0DEE41A4"/>
    <w:rsid w:val="0E2347B0"/>
    <w:rsid w:val="0E2A5F86"/>
    <w:rsid w:val="0E2F2715"/>
    <w:rsid w:val="0E382A31"/>
    <w:rsid w:val="0E3E5B6D"/>
    <w:rsid w:val="0E47192E"/>
    <w:rsid w:val="0E720208"/>
    <w:rsid w:val="0E8042DE"/>
    <w:rsid w:val="0EB43F87"/>
    <w:rsid w:val="0EEF43E1"/>
    <w:rsid w:val="0F057D42"/>
    <w:rsid w:val="0F1D4120"/>
    <w:rsid w:val="0F285443"/>
    <w:rsid w:val="0F380715"/>
    <w:rsid w:val="0F6231F8"/>
    <w:rsid w:val="0F700938"/>
    <w:rsid w:val="0FB2264C"/>
    <w:rsid w:val="0FB41C05"/>
    <w:rsid w:val="101C51BE"/>
    <w:rsid w:val="10291D6A"/>
    <w:rsid w:val="10502C0A"/>
    <w:rsid w:val="107355DB"/>
    <w:rsid w:val="10757746"/>
    <w:rsid w:val="108267DE"/>
    <w:rsid w:val="10A02A15"/>
    <w:rsid w:val="10AB756D"/>
    <w:rsid w:val="10B7526B"/>
    <w:rsid w:val="10C10D6E"/>
    <w:rsid w:val="10FF3E88"/>
    <w:rsid w:val="112A5B8F"/>
    <w:rsid w:val="114A1A65"/>
    <w:rsid w:val="11570677"/>
    <w:rsid w:val="116E18C9"/>
    <w:rsid w:val="117C7027"/>
    <w:rsid w:val="11A57F91"/>
    <w:rsid w:val="11AC63EF"/>
    <w:rsid w:val="11C97D4A"/>
    <w:rsid w:val="11EE6B20"/>
    <w:rsid w:val="11FC523F"/>
    <w:rsid w:val="120C002D"/>
    <w:rsid w:val="124D51C4"/>
    <w:rsid w:val="124F4986"/>
    <w:rsid w:val="12676EB0"/>
    <w:rsid w:val="12774AB4"/>
    <w:rsid w:val="128D10E1"/>
    <w:rsid w:val="12C11FB3"/>
    <w:rsid w:val="12EA0A43"/>
    <w:rsid w:val="13135720"/>
    <w:rsid w:val="131358F0"/>
    <w:rsid w:val="133024D1"/>
    <w:rsid w:val="13374963"/>
    <w:rsid w:val="137B1518"/>
    <w:rsid w:val="139B36C7"/>
    <w:rsid w:val="13BB7B66"/>
    <w:rsid w:val="13C40D94"/>
    <w:rsid w:val="13C52BBC"/>
    <w:rsid w:val="13CF2C28"/>
    <w:rsid w:val="13D103D4"/>
    <w:rsid w:val="13E412FB"/>
    <w:rsid w:val="13F37D49"/>
    <w:rsid w:val="140074E9"/>
    <w:rsid w:val="141F00B6"/>
    <w:rsid w:val="14824CCB"/>
    <w:rsid w:val="14A61CF8"/>
    <w:rsid w:val="14B720DC"/>
    <w:rsid w:val="14D06EB0"/>
    <w:rsid w:val="14E070B0"/>
    <w:rsid w:val="15180299"/>
    <w:rsid w:val="152A1906"/>
    <w:rsid w:val="153401CA"/>
    <w:rsid w:val="153A0EF9"/>
    <w:rsid w:val="154E075A"/>
    <w:rsid w:val="155900C0"/>
    <w:rsid w:val="156566DC"/>
    <w:rsid w:val="1595542E"/>
    <w:rsid w:val="15B026FB"/>
    <w:rsid w:val="15B56F13"/>
    <w:rsid w:val="15B825AF"/>
    <w:rsid w:val="15BE06BC"/>
    <w:rsid w:val="15BE526E"/>
    <w:rsid w:val="15CE3B81"/>
    <w:rsid w:val="15D70252"/>
    <w:rsid w:val="15E14648"/>
    <w:rsid w:val="15E50ECA"/>
    <w:rsid w:val="1617584F"/>
    <w:rsid w:val="163051FA"/>
    <w:rsid w:val="16387FC4"/>
    <w:rsid w:val="1684489C"/>
    <w:rsid w:val="16870D46"/>
    <w:rsid w:val="168B1A72"/>
    <w:rsid w:val="16D426C5"/>
    <w:rsid w:val="16F32207"/>
    <w:rsid w:val="16F43089"/>
    <w:rsid w:val="170B4003"/>
    <w:rsid w:val="1714553B"/>
    <w:rsid w:val="172B601E"/>
    <w:rsid w:val="173409F2"/>
    <w:rsid w:val="173914CE"/>
    <w:rsid w:val="174E3C1C"/>
    <w:rsid w:val="176D73C9"/>
    <w:rsid w:val="177B7D38"/>
    <w:rsid w:val="179E0178"/>
    <w:rsid w:val="179E49B5"/>
    <w:rsid w:val="17BC6937"/>
    <w:rsid w:val="17C07C69"/>
    <w:rsid w:val="17C52D61"/>
    <w:rsid w:val="17C85CC9"/>
    <w:rsid w:val="17D905BB"/>
    <w:rsid w:val="17DF5B57"/>
    <w:rsid w:val="17EC7880"/>
    <w:rsid w:val="17F16750"/>
    <w:rsid w:val="1845486B"/>
    <w:rsid w:val="185315DA"/>
    <w:rsid w:val="18535B5D"/>
    <w:rsid w:val="185E2241"/>
    <w:rsid w:val="18812808"/>
    <w:rsid w:val="188B5D59"/>
    <w:rsid w:val="18954E2A"/>
    <w:rsid w:val="18B15973"/>
    <w:rsid w:val="18B5254D"/>
    <w:rsid w:val="18B9390A"/>
    <w:rsid w:val="18BA4BA1"/>
    <w:rsid w:val="18C30A99"/>
    <w:rsid w:val="18D806C7"/>
    <w:rsid w:val="18DF30C3"/>
    <w:rsid w:val="191069DF"/>
    <w:rsid w:val="192B67C3"/>
    <w:rsid w:val="193A6FAE"/>
    <w:rsid w:val="193F7650"/>
    <w:rsid w:val="19445242"/>
    <w:rsid w:val="19A63CB5"/>
    <w:rsid w:val="19A74DCD"/>
    <w:rsid w:val="19A82F3D"/>
    <w:rsid w:val="19BA434D"/>
    <w:rsid w:val="19C14ECE"/>
    <w:rsid w:val="19D67574"/>
    <w:rsid w:val="19E3045F"/>
    <w:rsid w:val="1A010D0D"/>
    <w:rsid w:val="1A0F4DCD"/>
    <w:rsid w:val="1A2E1E21"/>
    <w:rsid w:val="1A4D2796"/>
    <w:rsid w:val="1A574AE4"/>
    <w:rsid w:val="1A6C2068"/>
    <w:rsid w:val="1ABF4BFF"/>
    <w:rsid w:val="1AC834A0"/>
    <w:rsid w:val="1AD145EB"/>
    <w:rsid w:val="1AF074C7"/>
    <w:rsid w:val="1B29017E"/>
    <w:rsid w:val="1B5763C6"/>
    <w:rsid w:val="1B605FFA"/>
    <w:rsid w:val="1B64047B"/>
    <w:rsid w:val="1B773F26"/>
    <w:rsid w:val="1B840DE6"/>
    <w:rsid w:val="1B8D4BF2"/>
    <w:rsid w:val="1B8E2E8E"/>
    <w:rsid w:val="1BAA4748"/>
    <w:rsid w:val="1BAF05AC"/>
    <w:rsid w:val="1BF73705"/>
    <w:rsid w:val="1BF86ED0"/>
    <w:rsid w:val="1BFA05C7"/>
    <w:rsid w:val="1C124098"/>
    <w:rsid w:val="1C1C3FB2"/>
    <w:rsid w:val="1C2C5351"/>
    <w:rsid w:val="1C42277E"/>
    <w:rsid w:val="1C422EA7"/>
    <w:rsid w:val="1C641230"/>
    <w:rsid w:val="1C987ACF"/>
    <w:rsid w:val="1CBA6732"/>
    <w:rsid w:val="1CC34973"/>
    <w:rsid w:val="1CC57DDD"/>
    <w:rsid w:val="1CFE526B"/>
    <w:rsid w:val="1D0600A4"/>
    <w:rsid w:val="1D1974BE"/>
    <w:rsid w:val="1D2463C7"/>
    <w:rsid w:val="1D29750E"/>
    <w:rsid w:val="1D2C50EC"/>
    <w:rsid w:val="1D2D5631"/>
    <w:rsid w:val="1D414668"/>
    <w:rsid w:val="1D6F7E72"/>
    <w:rsid w:val="1D701951"/>
    <w:rsid w:val="1DC1295F"/>
    <w:rsid w:val="1DDA2095"/>
    <w:rsid w:val="1DEB5281"/>
    <w:rsid w:val="1E281CF8"/>
    <w:rsid w:val="1E4757B8"/>
    <w:rsid w:val="1E4F7829"/>
    <w:rsid w:val="1E5720D7"/>
    <w:rsid w:val="1E791675"/>
    <w:rsid w:val="1E914FEE"/>
    <w:rsid w:val="1E9166E3"/>
    <w:rsid w:val="1E96363A"/>
    <w:rsid w:val="1E995462"/>
    <w:rsid w:val="1EAC6D41"/>
    <w:rsid w:val="1EAF7BC7"/>
    <w:rsid w:val="1ED15461"/>
    <w:rsid w:val="1ED5249F"/>
    <w:rsid w:val="1EDC0AAB"/>
    <w:rsid w:val="1EE01031"/>
    <w:rsid w:val="1F1A6F7C"/>
    <w:rsid w:val="1F290A19"/>
    <w:rsid w:val="1F345E65"/>
    <w:rsid w:val="1F3D5884"/>
    <w:rsid w:val="1FBE5529"/>
    <w:rsid w:val="1FD646BA"/>
    <w:rsid w:val="1FD91AA0"/>
    <w:rsid w:val="20236E07"/>
    <w:rsid w:val="204252C7"/>
    <w:rsid w:val="20782C59"/>
    <w:rsid w:val="20796FC7"/>
    <w:rsid w:val="207C5F64"/>
    <w:rsid w:val="20B10EF0"/>
    <w:rsid w:val="20B55069"/>
    <w:rsid w:val="20D862BB"/>
    <w:rsid w:val="20DA390D"/>
    <w:rsid w:val="20E71F45"/>
    <w:rsid w:val="20F52881"/>
    <w:rsid w:val="20FC4DE8"/>
    <w:rsid w:val="210462FA"/>
    <w:rsid w:val="213E07D8"/>
    <w:rsid w:val="21565BEE"/>
    <w:rsid w:val="215C64E4"/>
    <w:rsid w:val="21664D06"/>
    <w:rsid w:val="216E7E18"/>
    <w:rsid w:val="21844572"/>
    <w:rsid w:val="21A22DBB"/>
    <w:rsid w:val="21AF5B36"/>
    <w:rsid w:val="21CC2303"/>
    <w:rsid w:val="21D97609"/>
    <w:rsid w:val="21DF442C"/>
    <w:rsid w:val="21E24502"/>
    <w:rsid w:val="22194CD0"/>
    <w:rsid w:val="22260638"/>
    <w:rsid w:val="22723AE6"/>
    <w:rsid w:val="22A16179"/>
    <w:rsid w:val="22B1085B"/>
    <w:rsid w:val="22B22D4E"/>
    <w:rsid w:val="22EC5646"/>
    <w:rsid w:val="22F37F07"/>
    <w:rsid w:val="23034E8A"/>
    <w:rsid w:val="2309093C"/>
    <w:rsid w:val="232F626C"/>
    <w:rsid w:val="23400F75"/>
    <w:rsid w:val="23786461"/>
    <w:rsid w:val="23931FAA"/>
    <w:rsid w:val="23A37DFD"/>
    <w:rsid w:val="23CC272F"/>
    <w:rsid w:val="23D00342"/>
    <w:rsid w:val="23D61209"/>
    <w:rsid w:val="241430A6"/>
    <w:rsid w:val="242C4D01"/>
    <w:rsid w:val="242D3DA1"/>
    <w:rsid w:val="24744F3A"/>
    <w:rsid w:val="24A81A41"/>
    <w:rsid w:val="24B16B47"/>
    <w:rsid w:val="24B21F0D"/>
    <w:rsid w:val="24F56117"/>
    <w:rsid w:val="24F93D7C"/>
    <w:rsid w:val="25270083"/>
    <w:rsid w:val="25675069"/>
    <w:rsid w:val="25714529"/>
    <w:rsid w:val="25736C60"/>
    <w:rsid w:val="258F7913"/>
    <w:rsid w:val="259124D5"/>
    <w:rsid w:val="25986827"/>
    <w:rsid w:val="259A582D"/>
    <w:rsid w:val="25B82157"/>
    <w:rsid w:val="25B847B1"/>
    <w:rsid w:val="25CF45DD"/>
    <w:rsid w:val="25D02458"/>
    <w:rsid w:val="25DE1BBE"/>
    <w:rsid w:val="25E66954"/>
    <w:rsid w:val="25F264E6"/>
    <w:rsid w:val="25F816CC"/>
    <w:rsid w:val="26033121"/>
    <w:rsid w:val="260A1585"/>
    <w:rsid w:val="261C16BA"/>
    <w:rsid w:val="262E7315"/>
    <w:rsid w:val="262F241A"/>
    <w:rsid w:val="26672F17"/>
    <w:rsid w:val="26893864"/>
    <w:rsid w:val="268D3130"/>
    <w:rsid w:val="269F654D"/>
    <w:rsid w:val="26D06D24"/>
    <w:rsid w:val="27177704"/>
    <w:rsid w:val="27250E1D"/>
    <w:rsid w:val="27272C0D"/>
    <w:rsid w:val="2738099E"/>
    <w:rsid w:val="27465188"/>
    <w:rsid w:val="274B25DD"/>
    <w:rsid w:val="275C15F5"/>
    <w:rsid w:val="275C32FC"/>
    <w:rsid w:val="276E7A3C"/>
    <w:rsid w:val="277072C2"/>
    <w:rsid w:val="277470BF"/>
    <w:rsid w:val="27755CE0"/>
    <w:rsid w:val="278E79BA"/>
    <w:rsid w:val="27951D00"/>
    <w:rsid w:val="27A75FE0"/>
    <w:rsid w:val="27AC5CEC"/>
    <w:rsid w:val="27AE42EB"/>
    <w:rsid w:val="27BA6584"/>
    <w:rsid w:val="27C3795F"/>
    <w:rsid w:val="27C45118"/>
    <w:rsid w:val="27DF1C1D"/>
    <w:rsid w:val="27FE2618"/>
    <w:rsid w:val="28046877"/>
    <w:rsid w:val="28187324"/>
    <w:rsid w:val="282B4E63"/>
    <w:rsid w:val="283F3CE3"/>
    <w:rsid w:val="2856448E"/>
    <w:rsid w:val="286B0CB3"/>
    <w:rsid w:val="287303DB"/>
    <w:rsid w:val="28814C28"/>
    <w:rsid w:val="2894210B"/>
    <w:rsid w:val="28AA5575"/>
    <w:rsid w:val="28D56B7C"/>
    <w:rsid w:val="28FB7EAD"/>
    <w:rsid w:val="294E660E"/>
    <w:rsid w:val="294F3FF8"/>
    <w:rsid w:val="29645378"/>
    <w:rsid w:val="29655843"/>
    <w:rsid w:val="296D4069"/>
    <w:rsid w:val="299C47D4"/>
    <w:rsid w:val="29BD7D3C"/>
    <w:rsid w:val="29DF4D3F"/>
    <w:rsid w:val="2A0070CD"/>
    <w:rsid w:val="2A064425"/>
    <w:rsid w:val="2A0C3784"/>
    <w:rsid w:val="2A167B2E"/>
    <w:rsid w:val="2A2108C9"/>
    <w:rsid w:val="2A50038D"/>
    <w:rsid w:val="2A6266FB"/>
    <w:rsid w:val="2A6759A5"/>
    <w:rsid w:val="2A7049F6"/>
    <w:rsid w:val="2A7E571E"/>
    <w:rsid w:val="2AA64C74"/>
    <w:rsid w:val="2AB11259"/>
    <w:rsid w:val="2AB13B18"/>
    <w:rsid w:val="2AB40530"/>
    <w:rsid w:val="2AB96756"/>
    <w:rsid w:val="2AEE55BA"/>
    <w:rsid w:val="2B046A4D"/>
    <w:rsid w:val="2B097E12"/>
    <w:rsid w:val="2B3E30FF"/>
    <w:rsid w:val="2B3F4DEC"/>
    <w:rsid w:val="2B420046"/>
    <w:rsid w:val="2B436C22"/>
    <w:rsid w:val="2B81670F"/>
    <w:rsid w:val="2BBF77D4"/>
    <w:rsid w:val="2BC26640"/>
    <w:rsid w:val="2BC37160"/>
    <w:rsid w:val="2BC5112A"/>
    <w:rsid w:val="2C041C52"/>
    <w:rsid w:val="2C057779"/>
    <w:rsid w:val="2C2635A5"/>
    <w:rsid w:val="2C362C55"/>
    <w:rsid w:val="2C3647EA"/>
    <w:rsid w:val="2C497E6F"/>
    <w:rsid w:val="2CD12A87"/>
    <w:rsid w:val="2CEC6873"/>
    <w:rsid w:val="2D323DEE"/>
    <w:rsid w:val="2D37269B"/>
    <w:rsid w:val="2D485B6F"/>
    <w:rsid w:val="2D5C786C"/>
    <w:rsid w:val="2DA90D03"/>
    <w:rsid w:val="2DCB13B3"/>
    <w:rsid w:val="2DDB69E3"/>
    <w:rsid w:val="2DEB5563"/>
    <w:rsid w:val="2DF36C40"/>
    <w:rsid w:val="2E232138"/>
    <w:rsid w:val="2E46262D"/>
    <w:rsid w:val="2E5B161E"/>
    <w:rsid w:val="2E660424"/>
    <w:rsid w:val="2E725599"/>
    <w:rsid w:val="2E827B2B"/>
    <w:rsid w:val="2E9426DB"/>
    <w:rsid w:val="2EBC7DA3"/>
    <w:rsid w:val="2F022188"/>
    <w:rsid w:val="2F085162"/>
    <w:rsid w:val="2F172F36"/>
    <w:rsid w:val="2F2404AC"/>
    <w:rsid w:val="2F320885"/>
    <w:rsid w:val="2F3213CF"/>
    <w:rsid w:val="2F325552"/>
    <w:rsid w:val="2F4A73BC"/>
    <w:rsid w:val="2F4C358A"/>
    <w:rsid w:val="2F6C0009"/>
    <w:rsid w:val="2F6C4C22"/>
    <w:rsid w:val="2F903967"/>
    <w:rsid w:val="2F935580"/>
    <w:rsid w:val="2FAF67EA"/>
    <w:rsid w:val="2FCB181C"/>
    <w:rsid w:val="2FE33F54"/>
    <w:rsid w:val="2FE8201E"/>
    <w:rsid w:val="2FFE7462"/>
    <w:rsid w:val="300B163D"/>
    <w:rsid w:val="304D4153"/>
    <w:rsid w:val="30570103"/>
    <w:rsid w:val="30782AB0"/>
    <w:rsid w:val="30826457"/>
    <w:rsid w:val="308E432D"/>
    <w:rsid w:val="309537C1"/>
    <w:rsid w:val="309C7E9B"/>
    <w:rsid w:val="309E4D76"/>
    <w:rsid w:val="309F63EE"/>
    <w:rsid w:val="30B41061"/>
    <w:rsid w:val="30BC0D4E"/>
    <w:rsid w:val="311A361E"/>
    <w:rsid w:val="314172D8"/>
    <w:rsid w:val="3150172B"/>
    <w:rsid w:val="31560142"/>
    <w:rsid w:val="31642D95"/>
    <w:rsid w:val="31876865"/>
    <w:rsid w:val="31A70A96"/>
    <w:rsid w:val="31BB19AD"/>
    <w:rsid w:val="31EC28C8"/>
    <w:rsid w:val="31FD7CBB"/>
    <w:rsid w:val="32002EBC"/>
    <w:rsid w:val="32007A7E"/>
    <w:rsid w:val="322477CE"/>
    <w:rsid w:val="323F0B36"/>
    <w:rsid w:val="324638DB"/>
    <w:rsid w:val="324C5100"/>
    <w:rsid w:val="325C3C7D"/>
    <w:rsid w:val="325E5E4B"/>
    <w:rsid w:val="32617B8D"/>
    <w:rsid w:val="328F669B"/>
    <w:rsid w:val="329655CE"/>
    <w:rsid w:val="329E3A0C"/>
    <w:rsid w:val="32CD4C77"/>
    <w:rsid w:val="32F62F24"/>
    <w:rsid w:val="33092337"/>
    <w:rsid w:val="331C0B2D"/>
    <w:rsid w:val="33437504"/>
    <w:rsid w:val="33507516"/>
    <w:rsid w:val="336324D7"/>
    <w:rsid w:val="33AC4A27"/>
    <w:rsid w:val="33B846C8"/>
    <w:rsid w:val="33C17C5D"/>
    <w:rsid w:val="33ED5D11"/>
    <w:rsid w:val="33FB0581"/>
    <w:rsid w:val="34100FB1"/>
    <w:rsid w:val="34207846"/>
    <w:rsid w:val="34360982"/>
    <w:rsid w:val="34407C10"/>
    <w:rsid w:val="34471173"/>
    <w:rsid w:val="34481436"/>
    <w:rsid w:val="34601141"/>
    <w:rsid w:val="34766D14"/>
    <w:rsid w:val="34796F56"/>
    <w:rsid w:val="349F10F7"/>
    <w:rsid w:val="34D37D58"/>
    <w:rsid w:val="34F71848"/>
    <w:rsid w:val="35155BCB"/>
    <w:rsid w:val="35190446"/>
    <w:rsid w:val="35250590"/>
    <w:rsid w:val="35470E02"/>
    <w:rsid w:val="354851E6"/>
    <w:rsid w:val="35665BC0"/>
    <w:rsid w:val="356F60BD"/>
    <w:rsid w:val="359E387B"/>
    <w:rsid w:val="35A32F7C"/>
    <w:rsid w:val="35BB294B"/>
    <w:rsid w:val="35C21B3D"/>
    <w:rsid w:val="35EC4F49"/>
    <w:rsid w:val="363E1FDC"/>
    <w:rsid w:val="36417E5A"/>
    <w:rsid w:val="364538A9"/>
    <w:rsid w:val="365753FA"/>
    <w:rsid w:val="365B269A"/>
    <w:rsid w:val="365E5F1D"/>
    <w:rsid w:val="367C326A"/>
    <w:rsid w:val="36844170"/>
    <w:rsid w:val="368B47D1"/>
    <w:rsid w:val="36903852"/>
    <w:rsid w:val="36A71B58"/>
    <w:rsid w:val="36B67FED"/>
    <w:rsid w:val="36BA1F0B"/>
    <w:rsid w:val="36FD0634"/>
    <w:rsid w:val="3725250E"/>
    <w:rsid w:val="373745A8"/>
    <w:rsid w:val="375205BF"/>
    <w:rsid w:val="376475A0"/>
    <w:rsid w:val="376B22C2"/>
    <w:rsid w:val="379C7597"/>
    <w:rsid w:val="37A05293"/>
    <w:rsid w:val="37AC319E"/>
    <w:rsid w:val="37AD13F0"/>
    <w:rsid w:val="3856472F"/>
    <w:rsid w:val="385D3DE3"/>
    <w:rsid w:val="385D4C81"/>
    <w:rsid w:val="38606463"/>
    <w:rsid w:val="3863758E"/>
    <w:rsid w:val="386E0B3B"/>
    <w:rsid w:val="388F5282"/>
    <w:rsid w:val="38A83280"/>
    <w:rsid w:val="38B861F9"/>
    <w:rsid w:val="38C64446"/>
    <w:rsid w:val="38C66AE2"/>
    <w:rsid w:val="38E946AA"/>
    <w:rsid w:val="38FA78E1"/>
    <w:rsid w:val="38FB6655"/>
    <w:rsid w:val="39116DAC"/>
    <w:rsid w:val="39150A49"/>
    <w:rsid w:val="393D1AEF"/>
    <w:rsid w:val="39550E1C"/>
    <w:rsid w:val="39975E7B"/>
    <w:rsid w:val="399C0F6F"/>
    <w:rsid w:val="39D07618"/>
    <w:rsid w:val="39D932FC"/>
    <w:rsid w:val="39DA36FE"/>
    <w:rsid w:val="39DE0021"/>
    <w:rsid w:val="39F55BDC"/>
    <w:rsid w:val="3A064D0F"/>
    <w:rsid w:val="3A0A7D11"/>
    <w:rsid w:val="3A0E4FF5"/>
    <w:rsid w:val="3A17113A"/>
    <w:rsid w:val="3A2B785D"/>
    <w:rsid w:val="3A2D3456"/>
    <w:rsid w:val="3A2F07E2"/>
    <w:rsid w:val="3A373D6C"/>
    <w:rsid w:val="3A5D519E"/>
    <w:rsid w:val="3A6E5D2C"/>
    <w:rsid w:val="3A747584"/>
    <w:rsid w:val="3A7F0B92"/>
    <w:rsid w:val="3AD46C94"/>
    <w:rsid w:val="3AF050B8"/>
    <w:rsid w:val="3B0B01FC"/>
    <w:rsid w:val="3B3E1535"/>
    <w:rsid w:val="3B487D2D"/>
    <w:rsid w:val="3B666953"/>
    <w:rsid w:val="3B667134"/>
    <w:rsid w:val="3B67444C"/>
    <w:rsid w:val="3B7D53B1"/>
    <w:rsid w:val="3BCE5927"/>
    <w:rsid w:val="3C063615"/>
    <w:rsid w:val="3C4818BB"/>
    <w:rsid w:val="3C49502A"/>
    <w:rsid w:val="3C7546FF"/>
    <w:rsid w:val="3C8E5AE1"/>
    <w:rsid w:val="3C970D05"/>
    <w:rsid w:val="3CD536E2"/>
    <w:rsid w:val="3CD57FE9"/>
    <w:rsid w:val="3CEB7367"/>
    <w:rsid w:val="3D1F0F5A"/>
    <w:rsid w:val="3D376379"/>
    <w:rsid w:val="3D3B2FFA"/>
    <w:rsid w:val="3D404AB5"/>
    <w:rsid w:val="3D4778DB"/>
    <w:rsid w:val="3D736C49"/>
    <w:rsid w:val="3D892EF6"/>
    <w:rsid w:val="3DA74EF0"/>
    <w:rsid w:val="3DB31767"/>
    <w:rsid w:val="3DD66824"/>
    <w:rsid w:val="3DD8246F"/>
    <w:rsid w:val="3DF77843"/>
    <w:rsid w:val="3E045AE2"/>
    <w:rsid w:val="3E157CEF"/>
    <w:rsid w:val="3E1A5340"/>
    <w:rsid w:val="3E3F0E77"/>
    <w:rsid w:val="3E630B87"/>
    <w:rsid w:val="3E665B76"/>
    <w:rsid w:val="3E846539"/>
    <w:rsid w:val="3E883BF9"/>
    <w:rsid w:val="3E94094F"/>
    <w:rsid w:val="3EA77B44"/>
    <w:rsid w:val="3EC55271"/>
    <w:rsid w:val="3ED132A1"/>
    <w:rsid w:val="3EE32C44"/>
    <w:rsid w:val="3F2006FA"/>
    <w:rsid w:val="3F393998"/>
    <w:rsid w:val="3F3A7C78"/>
    <w:rsid w:val="3F467AD3"/>
    <w:rsid w:val="3F55560C"/>
    <w:rsid w:val="3F71255F"/>
    <w:rsid w:val="3F931993"/>
    <w:rsid w:val="3F935FDD"/>
    <w:rsid w:val="3FA54C25"/>
    <w:rsid w:val="3FAB7969"/>
    <w:rsid w:val="3FB43E68"/>
    <w:rsid w:val="3FCD6E68"/>
    <w:rsid w:val="3FD111B5"/>
    <w:rsid w:val="3FD4568C"/>
    <w:rsid w:val="3FD637DC"/>
    <w:rsid w:val="3FEB7618"/>
    <w:rsid w:val="3FF6458C"/>
    <w:rsid w:val="400971D7"/>
    <w:rsid w:val="402B4449"/>
    <w:rsid w:val="404535C5"/>
    <w:rsid w:val="40510CCD"/>
    <w:rsid w:val="40844552"/>
    <w:rsid w:val="409B52F0"/>
    <w:rsid w:val="409B6C45"/>
    <w:rsid w:val="40D224CA"/>
    <w:rsid w:val="40E06410"/>
    <w:rsid w:val="40E80CBF"/>
    <w:rsid w:val="411D4B81"/>
    <w:rsid w:val="4121600B"/>
    <w:rsid w:val="41855C15"/>
    <w:rsid w:val="4188126A"/>
    <w:rsid w:val="419A2113"/>
    <w:rsid w:val="419A27F0"/>
    <w:rsid w:val="41B11ADD"/>
    <w:rsid w:val="41B950AB"/>
    <w:rsid w:val="41BA6C0F"/>
    <w:rsid w:val="41E9571B"/>
    <w:rsid w:val="41EC5B50"/>
    <w:rsid w:val="41EC6FB9"/>
    <w:rsid w:val="41FE7345"/>
    <w:rsid w:val="42201451"/>
    <w:rsid w:val="423901E5"/>
    <w:rsid w:val="4245093A"/>
    <w:rsid w:val="424741EF"/>
    <w:rsid w:val="4262062D"/>
    <w:rsid w:val="42854834"/>
    <w:rsid w:val="42A17DA3"/>
    <w:rsid w:val="42AB4581"/>
    <w:rsid w:val="42CF2724"/>
    <w:rsid w:val="42CF71FC"/>
    <w:rsid w:val="43152DFB"/>
    <w:rsid w:val="43323745"/>
    <w:rsid w:val="43525CEF"/>
    <w:rsid w:val="437445E4"/>
    <w:rsid w:val="43777D26"/>
    <w:rsid w:val="437F7196"/>
    <w:rsid w:val="43AE3638"/>
    <w:rsid w:val="43CA31E5"/>
    <w:rsid w:val="43E048FB"/>
    <w:rsid w:val="43E73EDC"/>
    <w:rsid w:val="44045173"/>
    <w:rsid w:val="44150A49"/>
    <w:rsid w:val="441B4E99"/>
    <w:rsid w:val="442036C1"/>
    <w:rsid w:val="443909DA"/>
    <w:rsid w:val="44597314"/>
    <w:rsid w:val="44676717"/>
    <w:rsid w:val="44780FD8"/>
    <w:rsid w:val="4496320C"/>
    <w:rsid w:val="44A8366B"/>
    <w:rsid w:val="44A9737B"/>
    <w:rsid w:val="450B5DD1"/>
    <w:rsid w:val="450F78CC"/>
    <w:rsid w:val="45150019"/>
    <w:rsid w:val="45393578"/>
    <w:rsid w:val="453942C3"/>
    <w:rsid w:val="454F633F"/>
    <w:rsid w:val="45596713"/>
    <w:rsid w:val="45635197"/>
    <w:rsid w:val="45741B29"/>
    <w:rsid w:val="457F1EF2"/>
    <w:rsid w:val="45867DDC"/>
    <w:rsid w:val="459D53E2"/>
    <w:rsid w:val="45C03EB2"/>
    <w:rsid w:val="45C65D72"/>
    <w:rsid w:val="45CA00A4"/>
    <w:rsid w:val="45D1274E"/>
    <w:rsid w:val="45DC0B8E"/>
    <w:rsid w:val="45E10B66"/>
    <w:rsid w:val="45FE3DA2"/>
    <w:rsid w:val="46211CA0"/>
    <w:rsid w:val="46375460"/>
    <w:rsid w:val="463C376E"/>
    <w:rsid w:val="46417814"/>
    <w:rsid w:val="4654337F"/>
    <w:rsid w:val="46573BB7"/>
    <w:rsid w:val="46AC3C06"/>
    <w:rsid w:val="46DF2916"/>
    <w:rsid w:val="46E62229"/>
    <w:rsid w:val="46EF373D"/>
    <w:rsid w:val="47153A3E"/>
    <w:rsid w:val="47541888"/>
    <w:rsid w:val="479D03AF"/>
    <w:rsid w:val="47C62C54"/>
    <w:rsid w:val="48100008"/>
    <w:rsid w:val="486521D0"/>
    <w:rsid w:val="48664476"/>
    <w:rsid w:val="486A6796"/>
    <w:rsid w:val="48A62E76"/>
    <w:rsid w:val="48A9335B"/>
    <w:rsid w:val="48B021BC"/>
    <w:rsid w:val="48D13F22"/>
    <w:rsid w:val="48DC0BB6"/>
    <w:rsid w:val="48FD6822"/>
    <w:rsid w:val="4917767C"/>
    <w:rsid w:val="491D5BAC"/>
    <w:rsid w:val="493A72A3"/>
    <w:rsid w:val="49653E8D"/>
    <w:rsid w:val="496D7AAA"/>
    <w:rsid w:val="49893CE9"/>
    <w:rsid w:val="4999113D"/>
    <w:rsid w:val="499B2D8A"/>
    <w:rsid w:val="49A25C38"/>
    <w:rsid w:val="49AB1508"/>
    <w:rsid w:val="49AE3B58"/>
    <w:rsid w:val="49B655E8"/>
    <w:rsid w:val="49BD11D4"/>
    <w:rsid w:val="49D54A76"/>
    <w:rsid w:val="49D92DA9"/>
    <w:rsid w:val="49FC337D"/>
    <w:rsid w:val="49FD0E83"/>
    <w:rsid w:val="4A106321"/>
    <w:rsid w:val="4A245D95"/>
    <w:rsid w:val="4A811FBA"/>
    <w:rsid w:val="4A8219E6"/>
    <w:rsid w:val="4AD37807"/>
    <w:rsid w:val="4ADF391F"/>
    <w:rsid w:val="4B03505A"/>
    <w:rsid w:val="4B0B2D5E"/>
    <w:rsid w:val="4B0F724F"/>
    <w:rsid w:val="4B161583"/>
    <w:rsid w:val="4B1710D9"/>
    <w:rsid w:val="4B1D01E3"/>
    <w:rsid w:val="4B297664"/>
    <w:rsid w:val="4B3C61D6"/>
    <w:rsid w:val="4B4448DB"/>
    <w:rsid w:val="4B46166A"/>
    <w:rsid w:val="4B7A4F03"/>
    <w:rsid w:val="4B867E6B"/>
    <w:rsid w:val="4BC75C36"/>
    <w:rsid w:val="4BFE7346"/>
    <w:rsid w:val="4C015A89"/>
    <w:rsid w:val="4C1F1192"/>
    <w:rsid w:val="4C703A1B"/>
    <w:rsid w:val="4C872759"/>
    <w:rsid w:val="4C8D644C"/>
    <w:rsid w:val="4C917A80"/>
    <w:rsid w:val="4C965AF2"/>
    <w:rsid w:val="4CD40D75"/>
    <w:rsid w:val="4CE00811"/>
    <w:rsid w:val="4CE207FC"/>
    <w:rsid w:val="4CEE69E2"/>
    <w:rsid w:val="4CF17AD3"/>
    <w:rsid w:val="4CFB6254"/>
    <w:rsid w:val="4D0947BE"/>
    <w:rsid w:val="4D1460D5"/>
    <w:rsid w:val="4D26482C"/>
    <w:rsid w:val="4D333CEE"/>
    <w:rsid w:val="4D3E459F"/>
    <w:rsid w:val="4D4203D5"/>
    <w:rsid w:val="4D500C14"/>
    <w:rsid w:val="4D503551"/>
    <w:rsid w:val="4D85117D"/>
    <w:rsid w:val="4D9D661D"/>
    <w:rsid w:val="4DB51FC8"/>
    <w:rsid w:val="4DEF1E7B"/>
    <w:rsid w:val="4E094FB1"/>
    <w:rsid w:val="4E112E86"/>
    <w:rsid w:val="4E173442"/>
    <w:rsid w:val="4E1F2D33"/>
    <w:rsid w:val="4E3E7E8E"/>
    <w:rsid w:val="4E53772D"/>
    <w:rsid w:val="4E555929"/>
    <w:rsid w:val="4E5C06BF"/>
    <w:rsid w:val="4E81223B"/>
    <w:rsid w:val="4E8E06E6"/>
    <w:rsid w:val="4EA17576"/>
    <w:rsid w:val="4EDD3F8F"/>
    <w:rsid w:val="4EFF001A"/>
    <w:rsid w:val="4F09112E"/>
    <w:rsid w:val="4F0B3174"/>
    <w:rsid w:val="4F37431A"/>
    <w:rsid w:val="4F3F4BCC"/>
    <w:rsid w:val="4F4168CB"/>
    <w:rsid w:val="4F437951"/>
    <w:rsid w:val="4F58791E"/>
    <w:rsid w:val="4F797E40"/>
    <w:rsid w:val="4F896705"/>
    <w:rsid w:val="4F8A6B21"/>
    <w:rsid w:val="4F96383F"/>
    <w:rsid w:val="4F9C201E"/>
    <w:rsid w:val="4FB06D80"/>
    <w:rsid w:val="4FBC56F1"/>
    <w:rsid w:val="4FF2463F"/>
    <w:rsid w:val="4FF54B8C"/>
    <w:rsid w:val="4FFF53F0"/>
    <w:rsid w:val="501662A3"/>
    <w:rsid w:val="50275116"/>
    <w:rsid w:val="50511CC3"/>
    <w:rsid w:val="506D7705"/>
    <w:rsid w:val="50755B61"/>
    <w:rsid w:val="50784566"/>
    <w:rsid w:val="50974594"/>
    <w:rsid w:val="50B256C9"/>
    <w:rsid w:val="510422F2"/>
    <w:rsid w:val="51234079"/>
    <w:rsid w:val="512B3472"/>
    <w:rsid w:val="513B7354"/>
    <w:rsid w:val="513C3CB8"/>
    <w:rsid w:val="5154300F"/>
    <w:rsid w:val="51604FC2"/>
    <w:rsid w:val="51612F21"/>
    <w:rsid w:val="519C3468"/>
    <w:rsid w:val="519F6072"/>
    <w:rsid w:val="51BD002A"/>
    <w:rsid w:val="51CC1542"/>
    <w:rsid w:val="51D11D27"/>
    <w:rsid w:val="51E03679"/>
    <w:rsid w:val="52021EE1"/>
    <w:rsid w:val="520E63D9"/>
    <w:rsid w:val="522902C8"/>
    <w:rsid w:val="523B3345"/>
    <w:rsid w:val="526160D6"/>
    <w:rsid w:val="526A6404"/>
    <w:rsid w:val="526B7553"/>
    <w:rsid w:val="527F3531"/>
    <w:rsid w:val="529C62FE"/>
    <w:rsid w:val="52A31957"/>
    <w:rsid w:val="52B104AA"/>
    <w:rsid w:val="52D707DC"/>
    <w:rsid w:val="52EA12F3"/>
    <w:rsid w:val="52F30187"/>
    <w:rsid w:val="530D6BE2"/>
    <w:rsid w:val="533B6BA9"/>
    <w:rsid w:val="53566125"/>
    <w:rsid w:val="535D6F6B"/>
    <w:rsid w:val="53631D52"/>
    <w:rsid w:val="5368240F"/>
    <w:rsid w:val="536C5E3A"/>
    <w:rsid w:val="537B22B4"/>
    <w:rsid w:val="53997D83"/>
    <w:rsid w:val="539E25D6"/>
    <w:rsid w:val="53D838C5"/>
    <w:rsid w:val="5411759E"/>
    <w:rsid w:val="541263F1"/>
    <w:rsid w:val="543276B9"/>
    <w:rsid w:val="54370B05"/>
    <w:rsid w:val="54686973"/>
    <w:rsid w:val="54791E3E"/>
    <w:rsid w:val="548412D3"/>
    <w:rsid w:val="54A13B33"/>
    <w:rsid w:val="54A84E28"/>
    <w:rsid w:val="54B420AC"/>
    <w:rsid w:val="54B53A89"/>
    <w:rsid w:val="54DC1720"/>
    <w:rsid w:val="54E63D3C"/>
    <w:rsid w:val="54FE1085"/>
    <w:rsid w:val="5510672F"/>
    <w:rsid w:val="551663CF"/>
    <w:rsid w:val="551E350C"/>
    <w:rsid w:val="55445DA1"/>
    <w:rsid w:val="558E13F1"/>
    <w:rsid w:val="559D69B7"/>
    <w:rsid w:val="55A3601B"/>
    <w:rsid w:val="55C44E24"/>
    <w:rsid w:val="55C67C10"/>
    <w:rsid w:val="55C81589"/>
    <w:rsid w:val="55CF32EF"/>
    <w:rsid w:val="55D233B6"/>
    <w:rsid w:val="55D849F0"/>
    <w:rsid w:val="55FF3307"/>
    <w:rsid w:val="561A1EEF"/>
    <w:rsid w:val="561C5C67"/>
    <w:rsid w:val="563C47B7"/>
    <w:rsid w:val="56464A92"/>
    <w:rsid w:val="565C42B5"/>
    <w:rsid w:val="566D4D53"/>
    <w:rsid w:val="567A048B"/>
    <w:rsid w:val="56B81CE5"/>
    <w:rsid w:val="56BD72A1"/>
    <w:rsid w:val="56C202F7"/>
    <w:rsid w:val="56E60D09"/>
    <w:rsid w:val="56EC692F"/>
    <w:rsid w:val="56FB1D20"/>
    <w:rsid w:val="570E4CF5"/>
    <w:rsid w:val="57213614"/>
    <w:rsid w:val="57250B4B"/>
    <w:rsid w:val="572823EA"/>
    <w:rsid w:val="572F3778"/>
    <w:rsid w:val="573B036F"/>
    <w:rsid w:val="57587DBA"/>
    <w:rsid w:val="57B63E0A"/>
    <w:rsid w:val="57CD1EB6"/>
    <w:rsid w:val="57D302C6"/>
    <w:rsid w:val="57D93692"/>
    <w:rsid w:val="57DE2C65"/>
    <w:rsid w:val="58032868"/>
    <w:rsid w:val="582E3079"/>
    <w:rsid w:val="582F5E08"/>
    <w:rsid w:val="58335F64"/>
    <w:rsid w:val="583457B7"/>
    <w:rsid w:val="584D061B"/>
    <w:rsid w:val="585F09AC"/>
    <w:rsid w:val="586236D9"/>
    <w:rsid w:val="58675193"/>
    <w:rsid w:val="58692575"/>
    <w:rsid w:val="586A2202"/>
    <w:rsid w:val="586D674D"/>
    <w:rsid w:val="587F3693"/>
    <w:rsid w:val="58993AA4"/>
    <w:rsid w:val="58D740C7"/>
    <w:rsid w:val="58F52DEF"/>
    <w:rsid w:val="592C06F7"/>
    <w:rsid w:val="593037D7"/>
    <w:rsid w:val="59351499"/>
    <w:rsid w:val="59413614"/>
    <w:rsid w:val="5963315C"/>
    <w:rsid w:val="59661A1C"/>
    <w:rsid w:val="59833106"/>
    <w:rsid w:val="59C16295"/>
    <w:rsid w:val="59D94345"/>
    <w:rsid w:val="59E34A27"/>
    <w:rsid w:val="59E60B27"/>
    <w:rsid w:val="5A0C7DA1"/>
    <w:rsid w:val="5A15042A"/>
    <w:rsid w:val="5A273E7B"/>
    <w:rsid w:val="5A2B0F18"/>
    <w:rsid w:val="5A324F9B"/>
    <w:rsid w:val="5A3A5176"/>
    <w:rsid w:val="5A481E1E"/>
    <w:rsid w:val="5A547BC4"/>
    <w:rsid w:val="5A6B0450"/>
    <w:rsid w:val="5A951DC7"/>
    <w:rsid w:val="5AA55668"/>
    <w:rsid w:val="5ACE1638"/>
    <w:rsid w:val="5AFE3E53"/>
    <w:rsid w:val="5B1B3400"/>
    <w:rsid w:val="5B1C3F6F"/>
    <w:rsid w:val="5B57504B"/>
    <w:rsid w:val="5B6C544E"/>
    <w:rsid w:val="5B81129F"/>
    <w:rsid w:val="5B835B1E"/>
    <w:rsid w:val="5BA9706E"/>
    <w:rsid w:val="5BBD2C5D"/>
    <w:rsid w:val="5BEB688F"/>
    <w:rsid w:val="5C060BA6"/>
    <w:rsid w:val="5C0F1059"/>
    <w:rsid w:val="5C2763AE"/>
    <w:rsid w:val="5C452F60"/>
    <w:rsid w:val="5C4953E1"/>
    <w:rsid w:val="5C7E68C0"/>
    <w:rsid w:val="5C957523"/>
    <w:rsid w:val="5CB71FAC"/>
    <w:rsid w:val="5CC846CD"/>
    <w:rsid w:val="5CCC1A69"/>
    <w:rsid w:val="5CD33287"/>
    <w:rsid w:val="5D1551BE"/>
    <w:rsid w:val="5D1C55FD"/>
    <w:rsid w:val="5D2312A1"/>
    <w:rsid w:val="5D4A1ADE"/>
    <w:rsid w:val="5D5378C2"/>
    <w:rsid w:val="5D7B73F8"/>
    <w:rsid w:val="5D801813"/>
    <w:rsid w:val="5D921151"/>
    <w:rsid w:val="5DA96475"/>
    <w:rsid w:val="5DCF5EB4"/>
    <w:rsid w:val="5DDF2AFE"/>
    <w:rsid w:val="5DE47ADF"/>
    <w:rsid w:val="5DF43025"/>
    <w:rsid w:val="5DFE2262"/>
    <w:rsid w:val="5E064B68"/>
    <w:rsid w:val="5E1B2CA8"/>
    <w:rsid w:val="5E3E0745"/>
    <w:rsid w:val="5E416D1C"/>
    <w:rsid w:val="5E4529E1"/>
    <w:rsid w:val="5E6202FE"/>
    <w:rsid w:val="5E6A78A8"/>
    <w:rsid w:val="5EAA19C0"/>
    <w:rsid w:val="5EAA7B88"/>
    <w:rsid w:val="5EB11FFA"/>
    <w:rsid w:val="5ECA27ED"/>
    <w:rsid w:val="5F032377"/>
    <w:rsid w:val="5F1820F8"/>
    <w:rsid w:val="5F1C4AA8"/>
    <w:rsid w:val="5F225AA4"/>
    <w:rsid w:val="5F412D49"/>
    <w:rsid w:val="5F441D8B"/>
    <w:rsid w:val="5F5F29EA"/>
    <w:rsid w:val="5F5F4E16"/>
    <w:rsid w:val="5F8C1A99"/>
    <w:rsid w:val="5FA36174"/>
    <w:rsid w:val="5FA81703"/>
    <w:rsid w:val="5FB4212F"/>
    <w:rsid w:val="5FD211DD"/>
    <w:rsid w:val="5FD877F8"/>
    <w:rsid w:val="5FDB5858"/>
    <w:rsid w:val="5FDE5694"/>
    <w:rsid w:val="5FEC7C38"/>
    <w:rsid w:val="5FF50078"/>
    <w:rsid w:val="5FFD0811"/>
    <w:rsid w:val="600F1C37"/>
    <w:rsid w:val="60326087"/>
    <w:rsid w:val="60443D72"/>
    <w:rsid w:val="604C360E"/>
    <w:rsid w:val="606070A1"/>
    <w:rsid w:val="60963062"/>
    <w:rsid w:val="609C276E"/>
    <w:rsid w:val="60BD1DF5"/>
    <w:rsid w:val="60DD6087"/>
    <w:rsid w:val="60E6741B"/>
    <w:rsid w:val="60ED620D"/>
    <w:rsid w:val="610E2650"/>
    <w:rsid w:val="61292585"/>
    <w:rsid w:val="61386AE7"/>
    <w:rsid w:val="616173EE"/>
    <w:rsid w:val="6169690C"/>
    <w:rsid w:val="616F778E"/>
    <w:rsid w:val="61984414"/>
    <w:rsid w:val="61A158C4"/>
    <w:rsid w:val="61ED2739"/>
    <w:rsid w:val="6204281D"/>
    <w:rsid w:val="6218427D"/>
    <w:rsid w:val="621C2219"/>
    <w:rsid w:val="6220263B"/>
    <w:rsid w:val="62481B92"/>
    <w:rsid w:val="624B0CB0"/>
    <w:rsid w:val="625E33DF"/>
    <w:rsid w:val="62856942"/>
    <w:rsid w:val="62861BB9"/>
    <w:rsid w:val="6295685B"/>
    <w:rsid w:val="62A07D66"/>
    <w:rsid w:val="62BB3242"/>
    <w:rsid w:val="62CB4CCA"/>
    <w:rsid w:val="62D66437"/>
    <w:rsid w:val="62FD100A"/>
    <w:rsid w:val="63123A17"/>
    <w:rsid w:val="63170A82"/>
    <w:rsid w:val="63351EA2"/>
    <w:rsid w:val="63402869"/>
    <w:rsid w:val="634A393D"/>
    <w:rsid w:val="63506F50"/>
    <w:rsid w:val="63560401"/>
    <w:rsid w:val="63597EDD"/>
    <w:rsid w:val="6375552A"/>
    <w:rsid w:val="6402663B"/>
    <w:rsid w:val="64255628"/>
    <w:rsid w:val="642F3009"/>
    <w:rsid w:val="64581EB6"/>
    <w:rsid w:val="64667BD7"/>
    <w:rsid w:val="64691C31"/>
    <w:rsid w:val="64773BFC"/>
    <w:rsid w:val="647B0042"/>
    <w:rsid w:val="64812836"/>
    <w:rsid w:val="64D13BFF"/>
    <w:rsid w:val="65061FC2"/>
    <w:rsid w:val="651C64C6"/>
    <w:rsid w:val="65496E89"/>
    <w:rsid w:val="654B4A1D"/>
    <w:rsid w:val="654F3D83"/>
    <w:rsid w:val="65544130"/>
    <w:rsid w:val="655607EC"/>
    <w:rsid w:val="6557360E"/>
    <w:rsid w:val="658B3F86"/>
    <w:rsid w:val="65AE148A"/>
    <w:rsid w:val="65B30FCC"/>
    <w:rsid w:val="65C47781"/>
    <w:rsid w:val="65D379C4"/>
    <w:rsid w:val="65DB7521"/>
    <w:rsid w:val="65E41BD1"/>
    <w:rsid w:val="6616004D"/>
    <w:rsid w:val="662A7723"/>
    <w:rsid w:val="663F733D"/>
    <w:rsid w:val="66493DE6"/>
    <w:rsid w:val="664F6814"/>
    <w:rsid w:val="66510C5E"/>
    <w:rsid w:val="667A3D7E"/>
    <w:rsid w:val="66CD54D7"/>
    <w:rsid w:val="66CF64C5"/>
    <w:rsid w:val="66E31E89"/>
    <w:rsid w:val="673D146B"/>
    <w:rsid w:val="67426450"/>
    <w:rsid w:val="674548DD"/>
    <w:rsid w:val="674E5DE7"/>
    <w:rsid w:val="67505D24"/>
    <w:rsid w:val="67530DBD"/>
    <w:rsid w:val="676E3E53"/>
    <w:rsid w:val="67765F83"/>
    <w:rsid w:val="67AE2049"/>
    <w:rsid w:val="680A3217"/>
    <w:rsid w:val="6841261B"/>
    <w:rsid w:val="685301BB"/>
    <w:rsid w:val="685466A2"/>
    <w:rsid w:val="685E69DE"/>
    <w:rsid w:val="6868353C"/>
    <w:rsid w:val="686D4100"/>
    <w:rsid w:val="6874548F"/>
    <w:rsid w:val="688E36BA"/>
    <w:rsid w:val="689D0DC0"/>
    <w:rsid w:val="68C2000D"/>
    <w:rsid w:val="691438A2"/>
    <w:rsid w:val="694806C9"/>
    <w:rsid w:val="69540AC3"/>
    <w:rsid w:val="6970074F"/>
    <w:rsid w:val="69753AD6"/>
    <w:rsid w:val="6992791F"/>
    <w:rsid w:val="69CD2EFC"/>
    <w:rsid w:val="69CF32AF"/>
    <w:rsid w:val="69D430C2"/>
    <w:rsid w:val="69DB153D"/>
    <w:rsid w:val="69E623BC"/>
    <w:rsid w:val="6A2F35C4"/>
    <w:rsid w:val="6A37539F"/>
    <w:rsid w:val="6A601146"/>
    <w:rsid w:val="6A9F6F1C"/>
    <w:rsid w:val="6AA973BE"/>
    <w:rsid w:val="6ABC576A"/>
    <w:rsid w:val="6AD54E94"/>
    <w:rsid w:val="6AD97B66"/>
    <w:rsid w:val="6AF96A8C"/>
    <w:rsid w:val="6B1772CB"/>
    <w:rsid w:val="6B24010F"/>
    <w:rsid w:val="6B2C02A3"/>
    <w:rsid w:val="6B305F47"/>
    <w:rsid w:val="6B591A98"/>
    <w:rsid w:val="6B801AF1"/>
    <w:rsid w:val="6B8619C3"/>
    <w:rsid w:val="6BCA2390"/>
    <w:rsid w:val="6C07350B"/>
    <w:rsid w:val="6C215AD8"/>
    <w:rsid w:val="6C616993"/>
    <w:rsid w:val="6C785EC6"/>
    <w:rsid w:val="6CBF6C0C"/>
    <w:rsid w:val="6CCB7CB5"/>
    <w:rsid w:val="6CE45A82"/>
    <w:rsid w:val="6CED514E"/>
    <w:rsid w:val="6D424F6C"/>
    <w:rsid w:val="6D562AC9"/>
    <w:rsid w:val="6D6413E7"/>
    <w:rsid w:val="6DAE7EB4"/>
    <w:rsid w:val="6DBE71AC"/>
    <w:rsid w:val="6DD37101"/>
    <w:rsid w:val="6DEC0BE5"/>
    <w:rsid w:val="6DF31E10"/>
    <w:rsid w:val="6E0468FF"/>
    <w:rsid w:val="6E084AD4"/>
    <w:rsid w:val="6E1A0886"/>
    <w:rsid w:val="6E1E4C2F"/>
    <w:rsid w:val="6E315BD0"/>
    <w:rsid w:val="6E544E36"/>
    <w:rsid w:val="6E560671"/>
    <w:rsid w:val="6E585E87"/>
    <w:rsid w:val="6E6E0659"/>
    <w:rsid w:val="6EC901D0"/>
    <w:rsid w:val="6ECB0F0B"/>
    <w:rsid w:val="6ED17C7B"/>
    <w:rsid w:val="6EEF7C03"/>
    <w:rsid w:val="6EF25AB6"/>
    <w:rsid w:val="6F060E0B"/>
    <w:rsid w:val="6F0B22B2"/>
    <w:rsid w:val="6F190B3E"/>
    <w:rsid w:val="6F42559F"/>
    <w:rsid w:val="6F46386F"/>
    <w:rsid w:val="6F8241F5"/>
    <w:rsid w:val="6FB0179B"/>
    <w:rsid w:val="6FE340D1"/>
    <w:rsid w:val="70014B4E"/>
    <w:rsid w:val="70052E70"/>
    <w:rsid w:val="70604901"/>
    <w:rsid w:val="70634A3F"/>
    <w:rsid w:val="709055CD"/>
    <w:rsid w:val="70911BD8"/>
    <w:rsid w:val="70952FFF"/>
    <w:rsid w:val="70B01948"/>
    <w:rsid w:val="70E66A6F"/>
    <w:rsid w:val="70F14B55"/>
    <w:rsid w:val="711A0B9D"/>
    <w:rsid w:val="71845B98"/>
    <w:rsid w:val="719473E7"/>
    <w:rsid w:val="71AF6BD1"/>
    <w:rsid w:val="71B15D86"/>
    <w:rsid w:val="71B31E3B"/>
    <w:rsid w:val="71B903B6"/>
    <w:rsid w:val="71B92E73"/>
    <w:rsid w:val="71C52E43"/>
    <w:rsid w:val="71CD43DB"/>
    <w:rsid w:val="71D76797"/>
    <w:rsid w:val="71E27D54"/>
    <w:rsid w:val="72037883"/>
    <w:rsid w:val="722F0678"/>
    <w:rsid w:val="723839D1"/>
    <w:rsid w:val="7256284E"/>
    <w:rsid w:val="729B0095"/>
    <w:rsid w:val="729E04A0"/>
    <w:rsid w:val="72A76EB0"/>
    <w:rsid w:val="72BE75B3"/>
    <w:rsid w:val="72C46047"/>
    <w:rsid w:val="72D91C34"/>
    <w:rsid w:val="731D1478"/>
    <w:rsid w:val="7320481A"/>
    <w:rsid w:val="73370432"/>
    <w:rsid w:val="735465E8"/>
    <w:rsid w:val="735F4F8D"/>
    <w:rsid w:val="738A009D"/>
    <w:rsid w:val="739123E3"/>
    <w:rsid w:val="73F015C6"/>
    <w:rsid w:val="74215C75"/>
    <w:rsid w:val="742D551A"/>
    <w:rsid w:val="74307E81"/>
    <w:rsid w:val="74520996"/>
    <w:rsid w:val="745E5245"/>
    <w:rsid w:val="74662885"/>
    <w:rsid w:val="74714F78"/>
    <w:rsid w:val="74884070"/>
    <w:rsid w:val="74C316F2"/>
    <w:rsid w:val="74C439BB"/>
    <w:rsid w:val="74C47645"/>
    <w:rsid w:val="74EF2F50"/>
    <w:rsid w:val="75023E22"/>
    <w:rsid w:val="750C3591"/>
    <w:rsid w:val="751F49D4"/>
    <w:rsid w:val="752B08EE"/>
    <w:rsid w:val="75300F96"/>
    <w:rsid w:val="756451A0"/>
    <w:rsid w:val="756B442E"/>
    <w:rsid w:val="75930F1E"/>
    <w:rsid w:val="759F170C"/>
    <w:rsid w:val="75C31803"/>
    <w:rsid w:val="75C524DD"/>
    <w:rsid w:val="75C612F4"/>
    <w:rsid w:val="75F61B7E"/>
    <w:rsid w:val="760B676E"/>
    <w:rsid w:val="760F296A"/>
    <w:rsid w:val="76110EBF"/>
    <w:rsid w:val="76326002"/>
    <w:rsid w:val="76354E62"/>
    <w:rsid w:val="76613D3E"/>
    <w:rsid w:val="76780840"/>
    <w:rsid w:val="768610C6"/>
    <w:rsid w:val="769767EC"/>
    <w:rsid w:val="769F437B"/>
    <w:rsid w:val="76A030E1"/>
    <w:rsid w:val="76AB3920"/>
    <w:rsid w:val="76B80C3C"/>
    <w:rsid w:val="76D33DFE"/>
    <w:rsid w:val="76D90BB3"/>
    <w:rsid w:val="76DC2D7B"/>
    <w:rsid w:val="770E0A6A"/>
    <w:rsid w:val="772B3B04"/>
    <w:rsid w:val="772F45CE"/>
    <w:rsid w:val="773847E1"/>
    <w:rsid w:val="77530965"/>
    <w:rsid w:val="777D1E86"/>
    <w:rsid w:val="777E0E0B"/>
    <w:rsid w:val="7785526E"/>
    <w:rsid w:val="778D20C9"/>
    <w:rsid w:val="778D32E4"/>
    <w:rsid w:val="77A315C6"/>
    <w:rsid w:val="77A970DE"/>
    <w:rsid w:val="77C33D3D"/>
    <w:rsid w:val="77E63303"/>
    <w:rsid w:val="77F42D5F"/>
    <w:rsid w:val="780B7492"/>
    <w:rsid w:val="78252599"/>
    <w:rsid w:val="782C1008"/>
    <w:rsid w:val="782D785A"/>
    <w:rsid w:val="78520C1D"/>
    <w:rsid w:val="78540E39"/>
    <w:rsid w:val="78783AFC"/>
    <w:rsid w:val="788F1E71"/>
    <w:rsid w:val="78A33907"/>
    <w:rsid w:val="78AE3A23"/>
    <w:rsid w:val="78B80825"/>
    <w:rsid w:val="78BC253A"/>
    <w:rsid w:val="78C131A8"/>
    <w:rsid w:val="78E71CAD"/>
    <w:rsid w:val="78F9378E"/>
    <w:rsid w:val="79055D51"/>
    <w:rsid w:val="792D7336"/>
    <w:rsid w:val="79353C52"/>
    <w:rsid w:val="7936789A"/>
    <w:rsid w:val="793819A9"/>
    <w:rsid w:val="79573F67"/>
    <w:rsid w:val="79697C51"/>
    <w:rsid w:val="79793BDC"/>
    <w:rsid w:val="797E5DF2"/>
    <w:rsid w:val="79855CC3"/>
    <w:rsid w:val="79AF3DAA"/>
    <w:rsid w:val="79BB7B93"/>
    <w:rsid w:val="79C9363A"/>
    <w:rsid w:val="7A042DB6"/>
    <w:rsid w:val="7AB42C93"/>
    <w:rsid w:val="7AEA3703"/>
    <w:rsid w:val="7AF03CFF"/>
    <w:rsid w:val="7AF83C15"/>
    <w:rsid w:val="7B1579BF"/>
    <w:rsid w:val="7B787AF4"/>
    <w:rsid w:val="7B874528"/>
    <w:rsid w:val="7BA06ADC"/>
    <w:rsid w:val="7BAC36A3"/>
    <w:rsid w:val="7BB42392"/>
    <w:rsid w:val="7BC2430B"/>
    <w:rsid w:val="7BC262F9"/>
    <w:rsid w:val="7BD22B3D"/>
    <w:rsid w:val="7BD5347C"/>
    <w:rsid w:val="7BF5342E"/>
    <w:rsid w:val="7C077F70"/>
    <w:rsid w:val="7C162E8F"/>
    <w:rsid w:val="7C176606"/>
    <w:rsid w:val="7C2C654E"/>
    <w:rsid w:val="7C2E374F"/>
    <w:rsid w:val="7C39281F"/>
    <w:rsid w:val="7C8B0BA1"/>
    <w:rsid w:val="7C9537CE"/>
    <w:rsid w:val="7CAA78C0"/>
    <w:rsid w:val="7CB516ED"/>
    <w:rsid w:val="7CD60211"/>
    <w:rsid w:val="7CDD3AC3"/>
    <w:rsid w:val="7CE05E65"/>
    <w:rsid w:val="7CFA2E9C"/>
    <w:rsid w:val="7CFE510F"/>
    <w:rsid w:val="7D13030C"/>
    <w:rsid w:val="7D133070"/>
    <w:rsid w:val="7D1477D8"/>
    <w:rsid w:val="7D260A8C"/>
    <w:rsid w:val="7D2F2685"/>
    <w:rsid w:val="7D761851"/>
    <w:rsid w:val="7D775E4B"/>
    <w:rsid w:val="7DA11C98"/>
    <w:rsid w:val="7DAB1142"/>
    <w:rsid w:val="7DB406C0"/>
    <w:rsid w:val="7DC17A13"/>
    <w:rsid w:val="7DEE01E3"/>
    <w:rsid w:val="7DFA4230"/>
    <w:rsid w:val="7E05722A"/>
    <w:rsid w:val="7E0F0A9C"/>
    <w:rsid w:val="7E7E09BD"/>
    <w:rsid w:val="7E86636D"/>
    <w:rsid w:val="7EEC1987"/>
    <w:rsid w:val="7F346EB8"/>
    <w:rsid w:val="7F4D172E"/>
    <w:rsid w:val="7F585C8A"/>
    <w:rsid w:val="7F585D3F"/>
    <w:rsid w:val="7F750EFE"/>
    <w:rsid w:val="7F7766F0"/>
    <w:rsid w:val="7F7A1B0F"/>
    <w:rsid w:val="7F9E2999"/>
    <w:rsid w:val="7FAC7F13"/>
    <w:rsid w:val="7FDD21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1"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uiPriority="1" w:name="toc 2"/>
    <w:lsdException w:uiPriority="1" w:name="toc 3"/>
    <w:lsdException w:qFormat="1" w:unhideWhenUsed="0" w:uiPriority="0" w:semiHidden="0"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qFormat="1" w:uiPriority="99" w:semiHidden="0"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qFormat="1" w:unhideWhenUsed="0" w:uiPriority="0" w:semiHidden="0" w:name="Body Text First Indent 2"/>
    <w:lsdException w:uiPriority="1" w:name="Note Heading"/>
    <w:lsdException w:uiPriority="1" w:name="Body Text 2"/>
    <w:lsdException w:uiPriority="1"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1" w:semiHidden="0" w:name="Emphasis"/>
    <w:lsdException w:qFormat="1" w:uiPriority="99" w:semiHidden="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jc w:val="center"/>
      <w:outlineLvl w:val="0"/>
    </w:pPr>
    <w:rPr>
      <w:rFonts w:ascii="黑体" w:eastAsia="黑体"/>
      <w:sz w:val="52"/>
      <w:szCs w:val="24"/>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autoRedefine/>
    <w:qFormat/>
    <w:uiPriority w:val="0"/>
    <w:pPr>
      <w:keepNext/>
      <w:keepLines/>
      <w:spacing w:before="260" w:after="260" w:line="415" w:lineRule="auto"/>
      <w:outlineLvl w:val="2"/>
    </w:pPr>
    <w:rPr>
      <w:b/>
      <w:sz w:val="32"/>
    </w:rPr>
  </w:style>
  <w:style w:type="paragraph" w:styleId="7">
    <w:name w:val="heading 4"/>
    <w:basedOn w:val="1"/>
    <w:next w:val="1"/>
    <w:autoRedefine/>
    <w:qFormat/>
    <w:uiPriority w:val="0"/>
    <w:pPr>
      <w:keepNext/>
      <w:keepLines/>
      <w:widowControl w:val="0"/>
      <w:suppressLineNumbers w:val="0"/>
      <w:spacing w:before="280" w:beforeAutospacing="0" w:after="290" w:afterAutospacing="0" w:line="374" w:lineRule="auto"/>
      <w:jc w:val="both"/>
      <w:outlineLvl w:val="3"/>
    </w:pPr>
    <w:rPr>
      <w:rFonts w:hint="eastAsia" w:ascii="等线 Light" w:hAnsi="等线 Light" w:eastAsia="等线 Light" w:cs="Times New Roman"/>
      <w:b/>
      <w:bCs/>
      <w:kern w:val="2"/>
      <w:sz w:val="28"/>
      <w:szCs w:val="28"/>
      <w:lang w:val="en-US" w:eastAsia="zh-CN" w:bidi="ar"/>
    </w:rPr>
  </w:style>
  <w:style w:type="paragraph" w:styleId="8">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Í¼±íÕýÎÄ"/>
    <w:basedOn w:val="1"/>
    <w:next w:val="5"/>
    <w:autoRedefine/>
    <w:qFormat/>
    <w:uiPriority w:val="0"/>
    <w:pPr>
      <w:ind w:firstLine="420" w:firstLineChars="200"/>
    </w:pPr>
    <w:rPr>
      <w:sz w:val="24"/>
    </w:rPr>
  </w:style>
  <w:style w:type="paragraph" w:styleId="5">
    <w:name w:val="Normal Indent"/>
    <w:basedOn w:val="1"/>
    <w:link w:val="49"/>
    <w:autoRedefine/>
    <w:qFormat/>
    <w:uiPriority w:val="0"/>
    <w:pPr>
      <w:autoSpaceDE w:val="0"/>
      <w:autoSpaceDN w:val="0"/>
      <w:adjustRightInd w:val="0"/>
      <w:ind w:firstLine="420"/>
    </w:pPr>
    <w:rPr>
      <w:rFonts w:ascii="宋体"/>
      <w:sz w:val="24"/>
    </w:rPr>
  </w:style>
  <w:style w:type="paragraph" w:styleId="9">
    <w:name w:val="table of authorities"/>
    <w:basedOn w:val="1"/>
    <w:next w:val="1"/>
    <w:autoRedefine/>
    <w:unhideWhenUsed/>
    <w:qFormat/>
    <w:uiPriority w:val="99"/>
    <w:pPr>
      <w:ind w:left="420" w:leftChars="200"/>
    </w:pPr>
  </w:style>
  <w:style w:type="paragraph" w:styleId="10">
    <w:name w:val="Document Map"/>
    <w:basedOn w:val="1"/>
    <w:link w:val="54"/>
    <w:autoRedefine/>
    <w:unhideWhenUsed/>
    <w:qFormat/>
    <w:uiPriority w:val="99"/>
    <w:rPr>
      <w:rFonts w:ascii="宋体"/>
      <w:sz w:val="18"/>
      <w:szCs w:val="18"/>
    </w:rPr>
  </w:style>
  <w:style w:type="paragraph" w:styleId="11">
    <w:name w:val="annotation text"/>
    <w:basedOn w:val="1"/>
    <w:link w:val="46"/>
    <w:autoRedefine/>
    <w:unhideWhenUsed/>
    <w:qFormat/>
    <w:uiPriority w:val="99"/>
    <w:pPr>
      <w:jc w:val="left"/>
    </w:pPr>
  </w:style>
  <w:style w:type="paragraph" w:styleId="12">
    <w:name w:val="Body Text"/>
    <w:basedOn w:val="1"/>
    <w:next w:val="1"/>
    <w:link w:val="43"/>
    <w:autoRedefine/>
    <w:qFormat/>
    <w:uiPriority w:val="0"/>
    <w:pPr>
      <w:spacing w:after="120"/>
    </w:pPr>
    <w:rPr>
      <w:szCs w:val="24"/>
    </w:rPr>
  </w:style>
  <w:style w:type="paragraph" w:styleId="13">
    <w:name w:val="Body Text Indent"/>
    <w:basedOn w:val="1"/>
    <w:next w:val="1"/>
    <w:autoRedefine/>
    <w:qFormat/>
    <w:uiPriority w:val="0"/>
    <w:pPr>
      <w:spacing w:line="440" w:lineRule="exact"/>
      <w:ind w:firstLine="196" w:firstLineChars="196"/>
    </w:pPr>
    <w:rPr>
      <w:rFonts w:ascii="宋体" w:cs="Century"/>
      <w:spacing w:val="2"/>
      <w:szCs w:val="24"/>
    </w:rPr>
  </w:style>
  <w:style w:type="paragraph" w:styleId="14">
    <w:name w:val="Block Text"/>
    <w:autoRedefine/>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5">
    <w:name w:val="Plain Text"/>
    <w:basedOn w:val="1"/>
    <w:next w:val="5"/>
    <w:link w:val="50"/>
    <w:autoRedefine/>
    <w:qFormat/>
    <w:uiPriority w:val="0"/>
    <w:rPr>
      <w:rFonts w:ascii="宋体" w:hAnsi="宋体"/>
      <w:sz w:val="26"/>
    </w:rPr>
  </w:style>
  <w:style w:type="paragraph" w:styleId="16">
    <w:name w:val="Date"/>
    <w:basedOn w:val="1"/>
    <w:next w:val="1"/>
    <w:autoRedefine/>
    <w:qFormat/>
    <w:uiPriority w:val="0"/>
    <w:rPr>
      <w:rFonts w:ascii="宋体" w:hAnsi="宋体"/>
      <w:sz w:val="24"/>
    </w:rPr>
  </w:style>
  <w:style w:type="paragraph" w:styleId="17">
    <w:name w:val="Body Text Indent 2"/>
    <w:autoRedefine/>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8">
    <w:name w:val="Balloon Text"/>
    <w:basedOn w:val="1"/>
    <w:link w:val="53"/>
    <w:autoRedefine/>
    <w:unhideWhenUsed/>
    <w:qFormat/>
    <w:uiPriority w:val="99"/>
    <w:rPr>
      <w:sz w:val="18"/>
      <w:szCs w:val="18"/>
    </w:rPr>
  </w:style>
  <w:style w:type="paragraph" w:styleId="19">
    <w:name w:val="footer"/>
    <w:basedOn w:val="1"/>
    <w:link w:val="42"/>
    <w:autoRedefine/>
    <w:qFormat/>
    <w:uiPriority w:val="99"/>
    <w:pPr>
      <w:tabs>
        <w:tab w:val="center" w:pos="4153"/>
        <w:tab w:val="right" w:pos="8307"/>
      </w:tabs>
      <w:snapToGrid w:val="0"/>
      <w:jc w:val="left"/>
    </w:pPr>
    <w:rPr>
      <w:sz w:val="16"/>
    </w:rPr>
  </w:style>
  <w:style w:type="paragraph" w:styleId="20">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21">
    <w:name w:val="toc 1"/>
    <w:basedOn w:val="1"/>
    <w:next w:val="1"/>
    <w:autoRedefine/>
    <w:unhideWhenUsed/>
    <w:qFormat/>
    <w:uiPriority w:val="39"/>
  </w:style>
  <w:style w:type="paragraph" w:styleId="22">
    <w:name w:val="toc 4"/>
    <w:basedOn w:val="1"/>
    <w:next w:val="1"/>
    <w:autoRedefine/>
    <w:qFormat/>
    <w:uiPriority w:val="0"/>
    <w:pPr>
      <w:ind w:left="1260"/>
    </w:pPr>
  </w:style>
  <w:style w:type="paragraph" w:styleId="23">
    <w:name w:val="Body Text Indent 3"/>
    <w:basedOn w:val="1"/>
    <w:autoRedefine/>
    <w:unhideWhenUsed/>
    <w:qFormat/>
    <w:uiPriority w:val="99"/>
    <w:pPr>
      <w:spacing w:after="120"/>
      <w:ind w:left="420" w:leftChars="200"/>
    </w:pPr>
    <w:rPr>
      <w:rFonts w:ascii="Calibri" w:hAnsi="Calibri"/>
      <w:sz w:val="16"/>
      <w:szCs w:val="16"/>
    </w:rPr>
  </w:style>
  <w:style w:type="paragraph" w:styleId="24">
    <w:name w:val="Normal (Web)"/>
    <w:basedOn w:val="1"/>
    <w:autoRedefine/>
    <w:qFormat/>
    <w:uiPriority w:val="0"/>
    <w:pPr>
      <w:spacing w:before="100" w:beforeAutospacing="1" w:after="100" w:afterAutospacing="1"/>
      <w:jc w:val="left"/>
    </w:pPr>
    <w:rPr>
      <w:rFonts w:ascii="Calibri" w:hAnsi="Calibri"/>
      <w:kern w:val="0"/>
      <w:sz w:val="24"/>
      <w:szCs w:val="24"/>
    </w:rPr>
  </w:style>
  <w:style w:type="paragraph" w:styleId="25">
    <w:name w:val="annotation subject"/>
    <w:basedOn w:val="11"/>
    <w:next w:val="11"/>
    <w:link w:val="48"/>
    <w:autoRedefine/>
    <w:unhideWhenUsed/>
    <w:qFormat/>
    <w:uiPriority w:val="99"/>
    <w:rPr>
      <w:b/>
      <w:bCs/>
    </w:rPr>
  </w:style>
  <w:style w:type="paragraph" w:styleId="26">
    <w:name w:val="Body Text First Indent 2"/>
    <w:basedOn w:val="13"/>
    <w:next w:val="1"/>
    <w:autoRedefine/>
    <w:qFormat/>
    <w:uiPriority w:val="0"/>
    <w:pPr>
      <w:ind w:firstLine="420"/>
    </w:p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rPr>
  </w:style>
  <w:style w:type="character" w:styleId="31">
    <w:name w:val="page number"/>
    <w:autoRedefine/>
    <w:qFormat/>
    <w:uiPriority w:val="0"/>
  </w:style>
  <w:style w:type="character" w:styleId="32">
    <w:name w:val="FollowedHyperlink"/>
    <w:autoRedefine/>
    <w:unhideWhenUsed/>
    <w:qFormat/>
    <w:uiPriority w:val="99"/>
    <w:rPr>
      <w:color w:val="252424"/>
      <w:u w:val="none"/>
    </w:rPr>
  </w:style>
  <w:style w:type="character" w:styleId="33">
    <w:name w:val="Emphasis"/>
    <w:basedOn w:val="29"/>
    <w:autoRedefine/>
    <w:qFormat/>
    <w:uiPriority w:val="1"/>
    <w:rPr>
      <w:color w:val="F73131"/>
    </w:rPr>
  </w:style>
  <w:style w:type="character" w:styleId="34">
    <w:name w:val="HTML Definition"/>
    <w:autoRedefine/>
    <w:unhideWhenUsed/>
    <w:qFormat/>
    <w:uiPriority w:val="99"/>
    <w:rPr>
      <w:i/>
    </w:rPr>
  </w:style>
  <w:style w:type="character" w:styleId="35">
    <w:name w:val="Hyperlink"/>
    <w:autoRedefine/>
    <w:qFormat/>
    <w:uiPriority w:val="0"/>
    <w:rPr>
      <w:color w:val="252424"/>
      <w:u w:val="none"/>
    </w:rPr>
  </w:style>
  <w:style w:type="character" w:styleId="36">
    <w:name w:val="HTML Code"/>
    <w:autoRedefine/>
    <w:unhideWhenUsed/>
    <w:qFormat/>
    <w:uiPriority w:val="99"/>
    <w:rPr>
      <w:rFonts w:hint="default" w:ascii="Menlo" w:hAnsi="Menlo" w:eastAsia="Menlo" w:cs="Menlo"/>
      <w:color w:val="C7254E"/>
      <w:sz w:val="21"/>
      <w:szCs w:val="21"/>
      <w:shd w:val="clear" w:color="auto" w:fill="F9F2F4"/>
    </w:rPr>
  </w:style>
  <w:style w:type="character" w:styleId="37">
    <w:name w:val="annotation reference"/>
    <w:autoRedefine/>
    <w:unhideWhenUsed/>
    <w:qFormat/>
    <w:uiPriority w:val="99"/>
    <w:rPr>
      <w:sz w:val="21"/>
      <w:szCs w:val="21"/>
    </w:rPr>
  </w:style>
  <w:style w:type="character" w:styleId="38">
    <w:name w:val="HTML Cite"/>
    <w:autoRedefine/>
    <w:unhideWhenUsed/>
    <w:qFormat/>
    <w:uiPriority w:val="99"/>
  </w:style>
  <w:style w:type="character" w:styleId="39">
    <w:name w:val="HTML Keyboard"/>
    <w:autoRedefine/>
    <w:unhideWhenUsed/>
    <w:qFormat/>
    <w:uiPriority w:val="99"/>
    <w:rPr>
      <w:rFonts w:hint="default" w:ascii="Menlo" w:hAnsi="Menlo" w:eastAsia="Menlo" w:cs="Menlo"/>
      <w:color w:val="FFFFFF"/>
      <w:sz w:val="21"/>
      <w:szCs w:val="21"/>
      <w:shd w:val="clear" w:color="auto" w:fill="333333"/>
    </w:rPr>
  </w:style>
  <w:style w:type="character" w:styleId="40">
    <w:name w:val="HTML Sample"/>
    <w:autoRedefine/>
    <w:unhideWhenUsed/>
    <w:qFormat/>
    <w:uiPriority w:val="99"/>
    <w:rPr>
      <w:rFonts w:ascii="Menlo" w:hAnsi="Menlo" w:eastAsia="Menlo" w:cs="Menlo"/>
      <w:sz w:val="21"/>
      <w:szCs w:val="21"/>
    </w:rPr>
  </w:style>
  <w:style w:type="character" w:customStyle="1" w:styleId="41">
    <w:name w:val="font71"/>
    <w:basedOn w:val="29"/>
    <w:autoRedefine/>
    <w:qFormat/>
    <w:uiPriority w:val="0"/>
    <w:rPr>
      <w:rFonts w:hint="eastAsia" w:ascii="微软雅黑" w:hAnsi="微软雅黑" w:eastAsia="微软雅黑" w:cs="微软雅黑"/>
      <w:color w:val="000000"/>
      <w:sz w:val="18"/>
      <w:szCs w:val="18"/>
      <w:u w:val="none"/>
    </w:rPr>
  </w:style>
  <w:style w:type="character" w:customStyle="1" w:styleId="42">
    <w:name w:val="页脚 Char"/>
    <w:link w:val="19"/>
    <w:autoRedefine/>
    <w:qFormat/>
    <w:uiPriority w:val="99"/>
    <w:rPr>
      <w:rFonts w:ascii="Times New Roman" w:hAnsi="Times New Roman" w:eastAsia="宋体"/>
      <w:kern w:val="2"/>
      <w:sz w:val="16"/>
    </w:rPr>
  </w:style>
  <w:style w:type="character" w:customStyle="1" w:styleId="43">
    <w:name w:val="正文文本 Char"/>
    <w:link w:val="12"/>
    <w:autoRedefine/>
    <w:qFormat/>
    <w:uiPriority w:val="0"/>
    <w:rPr>
      <w:kern w:val="2"/>
      <w:sz w:val="21"/>
      <w:szCs w:val="24"/>
      <w:lang w:val="en-US" w:eastAsia="zh-CN" w:bidi="ar-SA"/>
    </w:rPr>
  </w:style>
  <w:style w:type="character" w:customStyle="1" w:styleId="44">
    <w:name w:val="font11"/>
    <w:basedOn w:val="29"/>
    <w:autoRedefine/>
    <w:qFormat/>
    <w:uiPriority w:val="0"/>
    <w:rPr>
      <w:rFonts w:hint="eastAsia" w:ascii="宋体" w:hAnsi="宋体" w:eastAsia="宋体" w:cs="宋体"/>
      <w:color w:val="000000"/>
      <w:sz w:val="18"/>
      <w:szCs w:val="18"/>
      <w:u w:val="none"/>
    </w:rPr>
  </w:style>
  <w:style w:type="character" w:customStyle="1" w:styleId="45">
    <w:name w:val="font131"/>
    <w:basedOn w:val="29"/>
    <w:autoRedefine/>
    <w:qFormat/>
    <w:uiPriority w:val="0"/>
    <w:rPr>
      <w:rFonts w:hint="eastAsia" w:ascii="微软雅黑" w:hAnsi="微软雅黑" w:eastAsia="微软雅黑" w:cs="微软雅黑"/>
      <w:color w:val="000000"/>
      <w:sz w:val="18"/>
      <w:szCs w:val="18"/>
      <w:u w:val="none"/>
    </w:rPr>
  </w:style>
  <w:style w:type="character" w:customStyle="1" w:styleId="46">
    <w:name w:val="批注文字 Char"/>
    <w:link w:val="11"/>
    <w:autoRedefine/>
    <w:qFormat/>
    <w:uiPriority w:val="99"/>
    <w:rPr>
      <w:rFonts w:eastAsia="宋体"/>
      <w:kern w:val="2"/>
      <w:sz w:val="21"/>
    </w:rPr>
  </w:style>
  <w:style w:type="character" w:customStyle="1" w:styleId="47">
    <w:name w:val="font141"/>
    <w:basedOn w:val="29"/>
    <w:autoRedefine/>
    <w:qFormat/>
    <w:uiPriority w:val="0"/>
    <w:rPr>
      <w:rFonts w:hint="default" w:ascii="Wingdings 2" w:hAnsi="Wingdings 2" w:eastAsia="Wingdings 2" w:cs="Wingdings 2"/>
      <w:color w:val="000000"/>
      <w:sz w:val="18"/>
      <w:szCs w:val="18"/>
      <w:u w:val="none"/>
    </w:rPr>
  </w:style>
  <w:style w:type="character" w:customStyle="1" w:styleId="48">
    <w:name w:val="批注主题 Char"/>
    <w:link w:val="25"/>
    <w:autoRedefine/>
    <w:semiHidden/>
    <w:qFormat/>
    <w:uiPriority w:val="99"/>
    <w:rPr>
      <w:rFonts w:eastAsia="宋体"/>
      <w:b/>
      <w:bCs/>
      <w:kern w:val="2"/>
      <w:sz w:val="21"/>
    </w:rPr>
  </w:style>
  <w:style w:type="character" w:customStyle="1" w:styleId="49">
    <w:name w:val="正文缩进 Char"/>
    <w:link w:val="5"/>
    <w:autoRedefine/>
    <w:qFormat/>
    <w:uiPriority w:val="0"/>
    <w:rPr>
      <w:rFonts w:ascii="宋体"/>
      <w:sz w:val="24"/>
      <w:lang w:val="en-US" w:eastAsia="zh-CN" w:bidi="ar-SA"/>
    </w:rPr>
  </w:style>
  <w:style w:type="character" w:customStyle="1" w:styleId="50">
    <w:name w:val="纯文本 Char"/>
    <w:link w:val="15"/>
    <w:autoRedefine/>
    <w:qFormat/>
    <w:uiPriority w:val="0"/>
    <w:rPr>
      <w:rFonts w:ascii="宋体" w:hAnsi="宋体"/>
      <w:kern w:val="2"/>
      <w:sz w:val="26"/>
      <w:lang w:val="en-US" w:eastAsia="zh-CN" w:bidi="ar-SA"/>
    </w:rPr>
  </w:style>
  <w:style w:type="character" w:customStyle="1" w:styleId="51">
    <w:name w:val="font61"/>
    <w:basedOn w:val="29"/>
    <w:autoRedefine/>
    <w:qFormat/>
    <w:uiPriority w:val="0"/>
    <w:rPr>
      <w:rFonts w:hint="eastAsia" w:ascii="微软雅黑" w:hAnsi="微软雅黑" w:eastAsia="微软雅黑" w:cs="微软雅黑"/>
      <w:color w:val="000000"/>
      <w:sz w:val="18"/>
      <w:szCs w:val="18"/>
      <w:u w:val="none"/>
    </w:rPr>
  </w:style>
  <w:style w:type="character" w:customStyle="1" w:styleId="52">
    <w:name w:val="font101"/>
    <w:basedOn w:val="29"/>
    <w:autoRedefine/>
    <w:qFormat/>
    <w:uiPriority w:val="0"/>
    <w:rPr>
      <w:rFonts w:hint="eastAsia" w:ascii="微软雅黑" w:hAnsi="微软雅黑" w:eastAsia="微软雅黑" w:cs="微软雅黑"/>
      <w:color w:val="000000"/>
      <w:sz w:val="18"/>
      <w:szCs w:val="18"/>
      <w:u w:val="none"/>
      <w:vertAlign w:val="superscript"/>
    </w:rPr>
  </w:style>
  <w:style w:type="character" w:customStyle="1" w:styleId="53">
    <w:name w:val="批注框文本 Char"/>
    <w:link w:val="18"/>
    <w:autoRedefine/>
    <w:semiHidden/>
    <w:qFormat/>
    <w:uiPriority w:val="99"/>
    <w:rPr>
      <w:rFonts w:eastAsia="宋体"/>
      <w:kern w:val="2"/>
      <w:sz w:val="18"/>
      <w:szCs w:val="18"/>
    </w:rPr>
  </w:style>
  <w:style w:type="character" w:customStyle="1" w:styleId="54">
    <w:name w:val="文档结构图 Char"/>
    <w:link w:val="10"/>
    <w:autoRedefine/>
    <w:semiHidden/>
    <w:qFormat/>
    <w:uiPriority w:val="99"/>
    <w:rPr>
      <w:rFonts w:ascii="宋体" w:eastAsia="宋体"/>
      <w:kern w:val="2"/>
      <w:sz w:val="18"/>
      <w:szCs w:val="18"/>
    </w:rPr>
  </w:style>
  <w:style w:type="character" w:customStyle="1" w:styleId="55">
    <w:name w:val="font91"/>
    <w:basedOn w:val="29"/>
    <w:autoRedefine/>
    <w:qFormat/>
    <w:uiPriority w:val="0"/>
    <w:rPr>
      <w:rFonts w:hint="eastAsia" w:ascii="微软雅黑" w:hAnsi="微软雅黑" w:eastAsia="微软雅黑" w:cs="微软雅黑"/>
      <w:color w:val="FF0000"/>
      <w:sz w:val="18"/>
      <w:szCs w:val="18"/>
      <w:u w:val="none"/>
    </w:rPr>
  </w:style>
  <w:style w:type="paragraph" w:customStyle="1" w:styleId="56">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57">
    <w:name w:val="成文日期"/>
    <w:basedOn w:val="1"/>
    <w:autoRedefine/>
    <w:qFormat/>
    <w:uiPriority w:val="0"/>
    <w:pPr>
      <w:ind w:right="400" w:rightChars="400"/>
      <w:jc w:val="right"/>
    </w:pPr>
  </w:style>
  <w:style w:type="paragraph" w:customStyle="1" w:styleId="58">
    <w:name w:val="Í¼¡À¡§ªÕýÎÄ"/>
    <w:basedOn w:val="1"/>
    <w:next w:val="5"/>
    <w:autoRedefine/>
    <w:qFormat/>
    <w:uiPriority w:val="99"/>
    <w:pPr>
      <w:ind w:firstLine="420" w:firstLineChars="200"/>
    </w:pPr>
    <w:rPr>
      <w:sz w:val="24"/>
    </w:rPr>
  </w:style>
  <w:style w:type="paragraph" w:customStyle="1" w:styleId="59">
    <w:name w:val="表格"/>
    <w:basedOn w:val="1"/>
    <w:autoRedefine/>
    <w:qFormat/>
    <w:uiPriority w:val="0"/>
    <w:pPr>
      <w:widowControl/>
    </w:pPr>
    <w:rPr>
      <w:rFonts w:ascii="宋体" w:hAnsi="宋体" w:cs="Tahoma"/>
      <w:bCs/>
      <w:kern w:val="0"/>
      <w:szCs w:val="21"/>
    </w:rPr>
  </w:style>
  <w:style w:type="paragraph" w:customStyle="1" w:styleId="60">
    <w:name w:val="纯文本11"/>
    <w:next w:val="22"/>
    <w:autoRedefine/>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Table Paragraph"/>
    <w:basedOn w:val="1"/>
    <w:autoRedefine/>
    <w:unhideWhenUsed/>
    <w:qFormat/>
    <w:uiPriority w:val="0"/>
    <w:rPr>
      <w:sz w:val="24"/>
    </w:rPr>
  </w:style>
  <w:style w:type="paragraph" w:customStyle="1" w:styleId="63">
    <w:name w:val="p0"/>
    <w:basedOn w:val="1"/>
    <w:autoRedefine/>
    <w:qFormat/>
    <w:uiPriority w:val="0"/>
    <w:pPr>
      <w:widowControl/>
      <w:adjustRightInd w:val="0"/>
      <w:snapToGrid w:val="0"/>
      <w:spacing w:line="312" w:lineRule="atLeast"/>
      <w:textAlignment w:val="baseline"/>
    </w:pPr>
    <w:rPr>
      <w:rFonts w:ascii="宋体" w:hAnsi="宋体"/>
      <w:kern w:val="0"/>
      <w:sz w:val="24"/>
    </w:rPr>
  </w:style>
  <w:style w:type="paragraph" w:customStyle="1" w:styleId="64">
    <w:name w:val="样式 标题 1 + 宋体 居中 段前: 17 磅 段后: 16.5 磅"/>
    <w:basedOn w:val="2"/>
    <w:autoRedefine/>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65">
    <w:name w:val="列表段落1"/>
    <w:basedOn w:val="1"/>
    <w:autoRedefine/>
    <w:qFormat/>
    <w:uiPriority w:val="34"/>
    <w:pPr>
      <w:ind w:firstLine="420" w:firstLineChars="200"/>
    </w:pPr>
  </w:style>
  <w:style w:type="paragraph" w:customStyle="1" w:styleId="66">
    <w:name w:val="样式 标题 3 + (中文) 黑体 小四 非加粗 段前: 7.8 磅 段后: 0 磅 行距: 固定值 20 磅"/>
    <w:basedOn w:val="6"/>
    <w:autoRedefine/>
    <w:qFormat/>
    <w:uiPriority w:val="0"/>
    <w:pPr>
      <w:spacing w:before="0" w:after="0" w:line="400" w:lineRule="exact"/>
    </w:pPr>
    <w:rPr>
      <w:rFonts w:eastAsia="黑体" w:cs="宋体"/>
      <w:b w:val="0"/>
      <w:sz w:val="24"/>
    </w:rPr>
  </w:style>
  <w:style w:type="paragraph" w:customStyle="1" w:styleId="67">
    <w:name w:val="样式 宋体 小四 行距: 固定值 22 磅"/>
    <w:basedOn w:val="1"/>
    <w:autoRedefine/>
    <w:qFormat/>
    <w:uiPriority w:val="0"/>
    <w:pPr>
      <w:spacing w:line="360" w:lineRule="auto"/>
      <w:ind w:firstLine="480" w:firstLineChars="200"/>
    </w:pPr>
    <w:rPr>
      <w:rFonts w:ascii="宋体" w:hAnsi="宋体" w:cs="宋体"/>
      <w:sz w:val="24"/>
    </w:rPr>
  </w:style>
  <w:style w:type="paragraph" w:customStyle="1" w:styleId="68">
    <w:name w:val="修订1"/>
    <w:autoRedefine/>
    <w:unhideWhenUsed/>
    <w:qFormat/>
    <w:uiPriority w:val="99"/>
    <w:rPr>
      <w:rFonts w:ascii="Times New Roman" w:hAnsi="Times New Roman" w:eastAsia="宋体" w:cs="Times New Roman"/>
      <w:kern w:val="2"/>
      <w:sz w:val="21"/>
      <w:lang w:val="en-US" w:eastAsia="zh-CN" w:bidi="ar-SA"/>
    </w:rPr>
  </w:style>
  <w:style w:type="paragraph" w:customStyle="1" w:styleId="69">
    <w:name w:val="纯文本1"/>
    <w:next w:val="22"/>
    <w:autoRedefine/>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70">
    <w:name w:val="纯文本2"/>
    <w:next w:val="22"/>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71">
    <w:name w:val="WPSOffice手动目录 1"/>
    <w:autoRedefine/>
    <w:qFormat/>
    <w:uiPriority w:val="0"/>
    <w:rPr>
      <w:rFonts w:ascii="Times New Roman" w:hAnsi="Times New Roman" w:eastAsia="宋体" w:cs="Times New Roman"/>
      <w:lang w:val="en-US" w:eastAsia="zh-CN" w:bidi="ar-SA"/>
    </w:rPr>
  </w:style>
  <w:style w:type="character" w:customStyle="1" w:styleId="72">
    <w:name w:val="font41"/>
    <w:basedOn w:val="29"/>
    <w:autoRedefine/>
    <w:qFormat/>
    <w:uiPriority w:val="0"/>
    <w:rPr>
      <w:rFonts w:hint="eastAsia" w:ascii="宋体" w:hAnsi="宋体" w:eastAsia="宋体" w:cs="宋体"/>
      <w:color w:val="FF0000"/>
      <w:sz w:val="18"/>
      <w:szCs w:val="18"/>
      <w:u w:val="none"/>
    </w:rPr>
  </w:style>
  <w:style w:type="character" w:customStyle="1" w:styleId="73">
    <w:name w:val="font81"/>
    <w:basedOn w:val="29"/>
    <w:autoRedefine/>
    <w:qFormat/>
    <w:uiPriority w:val="0"/>
    <w:rPr>
      <w:rFonts w:hint="eastAsia" w:ascii="宋体" w:hAnsi="宋体" w:eastAsia="宋体" w:cs="宋体"/>
      <w:color w:val="000000"/>
      <w:sz w:val="18"/>
      <w:szCs w:val="18"/>
      <w:u w:val="none"/>
    </w:rPr>
  </w:style>
  <w:style w:type="character" w:customStyle="1" w:styleId="74">
    <w:name w:val="font51"/>
    <w:basedOn w:val="29"/>
    <w:autoRedefine/>
    <w:qFormat/>
    <w:uiPriority w:val="0"/>
    <w:rPr>
      <w:rFonts w:ascii="ˎ̥" w:hAnsi="ˎ̥" w:eastAsia="ˎ̥" w:cs="ˎ̥"/>
      <w:color w:val="000000"/>
      <w:sz w:val="18"/>
      <w:szCs w:val="18"/>
      <w:u w:val="none"/>
    </w:rPr>
  </w:style>
  <w:style w:type="paragraph" w:styleId="75">
    <w:name w:val="List Paragraph"/>
    <w:basedOn w:val="1"/>
    <w:autoRedefine/>
    <w:qFormat/>
    <w:uiPriority w:val="1"/>
    <w:pPr>
      <w:ind w:left="1197" w:hanging="510"/>
    </w:pPr>
    <w:rPr>
      <w:rFonts w:ascii="宋体" w:hAnsi="宋体" w:cs="宋体"/>
      <w:lang w:val="zh-CN" w:bidi="zh-CN"/>
    </w:rPr>
  </w:style>
  <w:style w:type="character" w:customStyle="1" w:styleId="76">
    <w:name w:val="c-icon30"/>
    <w:basedOn w:val="29"/>
    <w:autoRedefine/>
    <w:qFormat/>
    <w:uiPriority w:val="0"/>
  </w:style>
  <w:style w:type="character" w:customStyle="1" w:styleId="77">
    <w:name w:val="hover26"/>
    <w:basedOn w:val="29"/>
    <w:autoRedefine/>
    <w:qFormat/>
    <w:uiPriority w:val="0"/>
  </w:style>
  <w:style w:type="character" w:customStyle="1" w:styleId="78">
    <w:name w:val="hover27"/>
    <w:basedOn w:val="29"/>
    <w:autoRedefine/>
    <w:qFormat/>
    <w:uiPriority w:val="0"/>
    <w:rPr>
      <w:color w:val="315EFB"/>
    </w:rPr>
  </w:style>
  <w:style w:type="paragraph" w:customStyle="1" w:styleId="79">
    <w:name w:val="Other|1"/>
    <w:basedOn w:val="1"/>
    <w:autoRedefine/>
    <w:unhideWhenUsed/>
    <w:qFormat/>
    <w:uiPriority w:val="0"/>
    <w:pPr>
      <w:spacing w:line="418" w:lineRule="auto"/>
      <w:ind w:firstLine="400"/>
    </w:pPr>
    <w:rPr>
      <w:rFonts w:hint="eastAsia" w:ascii="宋体" w:hAnsi="宋体" w:cs="宋体"/>
      <w:sz w:val="28"/>
      <w:szCs w:val="28"/>
      <w:lang w:val="zh-TW" w:eastAsia="zh-TW" w:bidi="zh-TW"/>
    </w:rPr>
  </w:style>
  <w:style w:type="character" w:customStyle="1" w:styleId="80">
    <w:name w:val="c-icon28"/>
    <w:basedOn w:val="29"/>
    <w:autoRedefine/>
    <w:qFormat/>
    <w:uiPriority w:val="0"/>
  </w:style>
  <w:style w:type="character" w:customStyle="1" w:styleId="81">
    <w:name w:val="hover24"/>
    <w:basedOn w:val="29"/>
    <w:autoRedefine/>
    <w:qFormat/>
    <w:uiPriority w:val="0"/>
  </w:style>
  <w:style w:type="character" w:customStyle="1" w:styleId="82">
    <w:name w:val="hover25"/>
    <w:basedOn w:val="29"/>
    <w:autoRedefine/>
    <w:qFormat/>
    <w:uiPriority w:val="0"/>
    <w:rPr>
      <w:color w:val="315EFB"/>
    </w:rPr>
  </w:style>
  <w:style w:type="character" w:customStyle="1" w:styleId="83">
    <w:name w:val="c-icon26"/>
    <w:basedOn w:val="29"/>
    <w:autoRedefine/>
    <w:qFormat/>
    <w:uiPriority w:val="0"/>
  </w:style>
  <w:style w:type="paragraph" w:customStyle="1" w:styleId="84">
    <w:name w:val="正文_25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5">
    <w:name w:val="正文_36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列出段落2"/>
    <w:autoRedefine/>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EAST PMC</Company>
  <Pages>38</Pages>
  <Words>23062</Words>
  <Characters>24458</Characters>
  <Lines>1</Lines>
  <Paragraphs>1</Paragraphs>
  <TotalTime>8</TotalTime>
  <ScaleCrop>false</ScaleCrop>
  <LinksUpToDate>false</LinksUpToDate>
  <CharactersWithSpaces>25874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2021-02-08T06:16:00Z</dcterms:created>
  <dc:creator>lenovo</dc:creator>
  <cp:lastModifiedBy>秋</cp:lastModifiedBy>
  <cp:lastPrinted>2021-11-25T02:59:00Z</cp:lastPrinted>
  <dcterms:modified xsi:type="dcterms:W3CDTF">2024-09-10T07:24:00Z</dcterms:modified>
  <dc:title>常 州 大 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49F7DCF77C2F4034A1718F377668E7B4_13</vt:lpwstr>
  </property>
</Properties>
</file>